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Document.xml" ContentType="application/vnd.openxmlformats-officedocument.wordprocessingml.people+xml"/>
  <Override PartName="/word/commentsExtendedDocument.xml" ContentType="application/vnd.openxmlformats-officedocument.wordprocessingml.commentsExtended+xml"/>
  <Override PartName="/word/commentsDocument.xml" ContentType="application/vnd.openxmlformats-officedocument.wordprocessingml.comment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IdsDocument.xml" ContentType="application/vnd.openxmlformats-officedocument.wordprocessingml.commentsId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495"/>
        <w:gridCol w:w="4860"/>
      </w:tblGrid>
      <w:tr>
        <w:tblPrEx/>
        <w:trPr>
          <w:jc w:val="center"/>
        </w:trPr>
        <w:tc>
          <w:tcPr>
            <w:tcW w:w="4495" w:type="dxa"/>
            <w:textDirection w:val="lrTb"/>
            <w:noWrap w:val="false"/>
          </w:tcPr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  <w:p>
            <w:pPr>
              <w:jc w:val="both"/>
              <w:rPr>
                <w:i/>
                <w:sz w:val="28"/>
                <w:szCs w:val="28"/>
                <w:highlight w:val="none"/>
              </w:rPr>
            </w:pP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  <w:r>
              <w:rPr>
                <w:i/>
                <w:sz w:val="28"/>
                <w:szCs w:val="28"/>
                <w:highlight w:val="none"/>
              </w:rPr>
            </w:r>
          </w:p>
        </w:tc>
        <w:tc>
          <w:tcPr>
            <w:tcW w:w="4860" w:type="dxa"/>
            <w:textDirection w:val="lrTb"/>
            <w:noWrap w:val="false"/>
          </w:tcPr>
          <w:p>
            <w:pPr>
              <w:jc w:val="right"/>
              <w:rPr>
                <w:b w:val="0"/>
                <w:bCs w:val="0"/>
                <w:highlight w:val="none"/>
              </w:rPr>
            </w:pPr>
            <w:r>
              <w:rPr>
                <w:b w:val="0"/>
                <w:bCs w:val="0"/>
                <w:highlight w:val="none"/>
              </w:rPr>
            </w:r>
            <w:r>
              <w:rPr>
                <w:b w:val="0"/>
                <w:bCs w:val="0"/>
                <w:highlight w:val="none"/>
              </w:rPr>
            </w:r>
            <w:r>
              <w:rPr>
                <w:b w:val="0"/>
                <w:bCs w:val="0"/>
                <w:highlight w:val="none"/>
              </w:rPr>
            </w:r>
          </w:p>
          <w:p>
            <w:pPr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УТВЕРЖДАЮ: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rPr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Заместитель</w:t>
            </w:r>
            <w:r>
              <w:rPr>
                <w:b w:val="0"/>
                <w:bCs w:val="0"/>
                <w:sz w:val="24"/>
                <w:szCs w:val="24"/>
              </w:rPr>
              <w:t xml:space="preserve"> директора – главный</w:t>
            </w:r>
            <w:r>
              <w:rPr>
                <w:b w:val="0"/>
                <w:bCs w:val="0"/>
                <w:sz w:val="24"/>
                <w:szCs w:val="24"/>
              </w:rPr>
              <w:t xml:space="preserve"> инженер филиала ПАО «</w:t>
            </w:r>
            <w:r>
              <w:rPr>
                <w:b w:val="0"/>
                <w:bCs w:val="0"/>
                <w:sz w:val="24"/>
                <w:szCs w:val="24"/>
              </w:rPr>
              <w:t xml:space="preserve">Россети</w:t>
            </w:r>
            <w:r>
              <w:rPr>
                <w:b w:val="0"/>
                <w:bCs w:val="0"/>
                <w:sz w:val="24"/>
                <w:szCs w:val="24"/>
              </w:rPr>
              <w:t xml:space="preserve"> Урал» - «Челябэнерго»</w:t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</w:r>
          </w:p>
          <w:p>
            <w:pPr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jc w:val="right"/>
              <w:rPr>
                <w:b w:val="0"/>
                <w:bCs w:val="0"/>
                <w:sz w:val="24"/>
                <w:szCs w:val="24"/>
              </w:rPr>
              <w:pBdr>
                <w:bottom w:val="single" w:color="000000" w:sz="12" w:space="0"/>
              </w:pBdr>
            </w:pPr>
            <w:r>
              <w:rPr>
                <w:b w:val="0"/>
                <w:bCs w:val="0"/>
                <w:sz w:val="24"/>
                <w:szCs w:val="24"/>
              </w:rPr>
              <w:t xml:space="preserve">В.А</w:t>
            </w:r>
            <w:r>
              <w:rPr>
                <w:b w:val="0"/>
                <w:bCs w:val="0"/>
                <w:sz w:val="24"/>
                <w:szCs w:val="24"/>
              </w:rPr>
              <w:t xml:space="preserve">. Обвинце</w:t>
            </w:r>
            <w:r>
              <w:rPr>
                <w:b w:val="0"/>
                <w:bCs w:val="0"/>
                <w:sz w:val="24"/>
                <w:szCs w:val="24"/>
              </w:rPr>
              <w:t xml:space="preserve">в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jc w:val="right"/>
              <w:rPr>
                <w:b w:val="0"/>
                <w:bCs w:val="0"/>
                <w:i/>
                <w:sz w:val="24"/>
                <w:szCs w:val="24"/>
              </w:rPr>
            </w:pPr>
            <w:r>
              <w:rPr>
                <w:b w:val="0"/>
                <w:bCs w:val="0"/>
                <w:i/>
                <w:sz w:val="24"/>
                <w:szCs w:val="24"/>
              </w:rPr>
              <w:t xml:space="preserve">  </w:t>
            </w:r>
            <w:r>
              <w:rPr>
                <w:b w:val="0"/>
                <w:bCs w:val="0"/>
                <w:i/>
                <w:sz w:val="24"/>
                <w:szCs w:val="24"/>
              </w:rPr>
            </w:r>
            <w:r>
              <w:rPr>
                <w:b w:val="0"/>
                <w:bCs w:val="0"/>
                <w:i/>
                <w:sz w:val="24"/>
                <w:szCs w:val="24"/>
              </w:rPr>
            </w:r>
          </w:p>
          <w:p>
            <w:pPr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pStyle w:val="974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«_____» ________________2026</w:t>
            </w:r>
            <w:r>
              <w:rPr>
                <w:b w:val="0"/>
                <w:bCs w:val="0"/>
                <w:sz w:val="24"/>
                <w:szCs w:val="24"/>
              </w:rPr>
              <w:t xml:space="preserve"> г.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jc w:val="right"/>
              <w:rPr>
                <w:b w:val="0"/>
                <w:bCs w:val="0"/>
                <w:highlight w:val="none"/>
              </w:rPr>
            </w:pPr>
            <w:r>
              <w:rPr>
                <w:b w:val="0"/>
                <w:bCs w:val="0"/>
                <w:highlight w:val="none"/>
              </w:rPr>
            </w:r>
            <w:r>
              <w:rPr>
                <w:b w:val="0"/>
                <w:bCs w:val="0"/>
                <w:highlight w:val="none"/>
              </w:rPr>
            </w:r>
            <w:r>
              <w:rPr>
                <w:b w:val="0"/>
                <w:bCs w:val="0"/>
                <w:highlight w:val="none"/>
              </w:rPr>
            </w:r>
          </w:p>
        </w:tc>
      </w:tr>
    </w:tbl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921"/>
        <w:jc w:val="center"/>
        <w:rPr>
          <w:i w:val="0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commentRangeStart w:id="0"/>
      <w:r>
        <w:rPr>
          <w:i w:val="0"/>
          <w:sz w:val="24"/>
          <w:szCs w:val="24"/>
          <w:highlight w:val="none"/>
        </w:rPr>
        <w:t xml:space="preserve">Т</w:t>
      </w:r>
      <w:r>
        <w:rPr>
          <w:i w:val="0"/>
          <w:sz w:val="24"/>
          <w:szCs w:val="24"/>
          <w:highlight w:val="none"/>
        </w:rPr>
        <w:t xml:space="preserve">ЕХНИЧЕСКОЕ ЗАДАНИЕ</w:t>
      </w:r>
      <w:commentRangeEnd w:id="0"/>
      <w:r>
        <w:commentReference w:id="0"/>
      </w:r>
      <w:r>
        <w:rPr>
          <w:i w:val="0"/>
          <w:sz w:val="24"/>
          <w:szCs w:val="24"/>
          <w:highlight w:val="none"/>
        </w:rPr>
      </w:r>
      <w:r>
        <w:rPr>
          <w:i w:val="0"/>
          <w:sz w:val="24"/>
          <w:szCs w:val="24"/>
          <w:highlight w:val="none"/>
        </w:rPr>
      </w:r>
    </w:p>
    <w:p>
      <w:pPr>
        <w:pStyle w:val="933"/>
        <w:jc w:val="center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pStyle w:val="921"/>
        <w:numPr>
          <w:ilvl w:val="0"/>
          <w:numId w:val="2"/>
        </w:numPr>
        <w:ind w:left="0" w:firstLine="0"/>
        <w:jc w:val="both"/>
        <w:tabs>
          <w:tab w:val="left" w:pos="709" w:leader="none"/>
        </w:tabs>
        <w:rPr>
          <w:i w:val="0"/>
          <w:sz w:val="24"/>
          <w:szCs w:val="24"/>
          <w:highlight w:val="none"/>
        </w:rPr>
      </w:pPr>
      <w:r>
        <w:rPr>
          <w:i w:val="0"/>
          <w:sz w:val="24"/>
          <w:szCs w:val="24"/>
          <w:highlight w:val="none"/>
        </w:rPr>
        <w:t xml:space="preserve">Общие сведения о предмете </w:t>
      </w:r>
      <w:r>
        <w:rPr>
          <w:i w:val="0"/>
          <w:sz w:val="24"/>
          <w:szCs w:val="24"/>
          <w:highlight w:val="none"/>
        </w:rPr>
        <w:t xml:space="preserve">сравнения цен</w:t>
      </w:r>
      <w:r>
        <w:rPr>
          <w:i w:val="0"/>
          <w:sz w:val="24"/>
          <w:szCs w:val="24"/>
          <w:highlight w:val="none"/>
        </w:rPr>
        <w:t xml:space="preserve"> в электронной форме,</w:t>
      </w:r>
      <w:r>
        <w:rPr>
          <w:i w:val="0"/>
          <w:sz w:val="24"/>
          <w:szCs w:val="24"/>
          <w:highlight w:val="none"/>
        </w:rPr>
        <w:t xml:space="preserve"> участниками которого могут быть </w:t>
      </w:r>
      <w:r>
        <w:rPr>
          <w:i w:val="0"/>
          <w:sz w:val="24"/>
          <w:szCs w:val="24"/>
          <w:highlight w:val="none"/>
        </w:rPr>
        <w:t xml:space="preserve">только субъекты МСП</w:t>
      </w:r>
      <w:r>
        <w:rPr>
          <w:i w:val="0"/>
          <w:sz w:val="24"/>
          <w:szCs w:val="24"/>
          <w:highlight w:val="none"/>
        </w:rPr>
        <w:t xml:space="preserve"> (далее - закупка):</w:t>
      </w:r>
      <w:r>
        <w:rPr>
          <w:i w:val="0"/>
          <w:sz w:val="24"/>
          <w:szCs w:val="24"/>
          <w:highlight w:val="none"/>
        </w:rPr>
      </w:r>
      <w:r>
        <w:rPr>
          <w:i w:val="0"/>
          <w:sz w:val="24"/>
          <w:szCs w:val="24"/>
          <w:highlight w:val="none"/>
        </w:rPr>
      </w:r>
    </w:p>
    <w:p>
      <w:pPr>
        <w:jc w:val="both"/>
        <w:tabs>
          <w:tab w:val="left" w:pos="709" w:leader="none"/>
        </w:tabs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Предмет </w:t>
      </w:r>
      <w:r>
        <w:rPr>
          <w:b/>
          <w:sz w:val="24"/>
          <w:szCs w:val="24"/>
          <w:highlight w:val="none"/>
        </w:rPr>
        <w:t xml:space="preserve">закупки</w:t>
      </w:r>
      <w:r>
        <w:rPr>
          <w:b/>
          <w:sz w:val="24"/>
          <w:szCs w:val="24"/>
          <w:highlight w:val="none"/>
        </w:rPr>
        <w:t xml:space="preserve">: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pStyle w:val="933"/>
        <w:jc w:val="both"/>
        <w:tabs>
          <w:tab w:val="left" w:pos="709" w:leader="none"/>
        </w:tabs>
        <w:rPr>
          <w:b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Право заключения до</w:t>
      </w:r>
      <w:r>
        <w:rPr>
          <w:sz w:val="24"/>
          <w:szCs w:val="24"/>
          <w:highlight w:val="none"/>
        </w:rPr>
        <w:t xml:space="preserve">говора </w:t>
      </w:r>
      <w:r>
        <w:rPr>
          <w:sz w:val="24"/>
          <w:szCs w:val="24"/>
        </w:rPr>
        <w:t xml:space="preserve">на т</w:t>
      </w:r>
      <w:r>
        <w:rPr>
          <w:sz w:val="24"/>
          <w:szCs w:val="24"/>
        </w:rPr>
        <w:t xml:space="preserve">ехническое обслуживание кондиционеров для нужд ПО «МЭС» филиала «Челябэнерго» в 2026 г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highlight w:val="none"/>
        </w:rPr>
        <w:t xml:space="preserve"> 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jc w:val="both"/>
        <w:tabs>
          <w:tab w:val="left" w:pos="709" w:leader="none"/>
        </w:tabs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Основание для проведения </w:t>
      </w:r>
      <w:r>
        <w:rPr>
          <w:b/>
          <w:sz w:val="24"/>
          <w:szCs w:val="24"/>
          <w:highlight w:val="none"/>
        </w:rPr>
        <w:t xml:space="preserve">закупки</w:t>
      </w:r>
      <w:r>
        <w:rPr>
          <w:b/>
          <w:sz w:val="24"/>
          <w:szCs w:val="24"/>
          <w:highlight w:val="none"/>
        </w:rPr>
        <w:t xml:space="preserve">: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b w:val="0"/>
          <w:bCs w:val="0"/>
          <w:sz w:val="24"/>
          <w:szCs w:val="24"/>
          <w:highlight w:val="cyan"/>
        </w:rPr>
      </w:pPr>
      <w:r>
        <w:rPr>
          <w:b w:val="0"/>
          <w:bCs w:val="0"/>
          <w:sz w:val="24"/>
          <w:szCs w:val="24"/>
          <w:highlight w:val="white"/>
        </w:rPr>
        <w:t xml:space="preserve">План закупок 2026 года.</w:t>
      </w:r>
      <w:r>
        <w:rPr>
          <w:b w:val="0"/>
          <w:bCs w:val="0"/>
          <w:sz w:val="24"/>
          <w:szCs w:val="24"/>
          <w:highlight w:val="cyan"/>
        </w:rPr>
      </w:r>
      <w:r>
        <w:rPr>
          <w:b w:val="0"/>
          <w:bCs w:val="0"/>
          <w:sz w:val="24"/>
          <w:szCs w:val="24"/>
          <w:highlight w:val="cyan"/>
        </w:rPr>
      </w:r>
    </w:p>
    <w:p>
      <w:pPr>
        <w:jc w:val="both"/>
        <w:spacing w:line="274" w:lineRule="auto"/>
        <w:tabs>
          <w:tab w:val="left" w:pos="709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Заказчик:</w:t>
      </w:r>
      <w:r>
        <w:rPr>
          <w:b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П</w:t>
      </w:r>
      <w:r>
        <w:rPr>
          <w:sz w:val="24"/>
          <w:szCs w:val="24"/>
          <w:highlight w:val="none"/>
        </w:rPr>
        <w:t xml:space="preserve">АО «</w:t>
      </w:r>
      <w:r>
        <w:rPr>
          <w:sz w:val="24"/>
          <w:szCs w:val="24"/>
          <w:highlight w:val="none"/>
        </w:rPr>
        <w:t xml:space="preserve">Россети Урал</w:t>
      </w:r>
      <w:r>
        <w:rPr>
          <w:sz w:val="24"/>
          <w:szCs w:val="24"/>
          <w:highlight w:val="none"/>
        </w:rPr>
        <w:t xml:space="preserve">» (филиал «Челябэнерго</w:t>
      </w:r>
      <w:r>
        <w:rPr>
          <w:sz w:val="24"/>
          <w:szCs w:val="24"/>
          <w:highlight w:val="none"/>
        </w:rPr>
        <w:t xml:space="preserve">»).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rFonts w:eastAsia="MS Mincho"/>
          <w:color w:val="ff0000"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Место</w:t>
      </w:r>
      <w:r>
        <w:rPr>
          <w:sz w:val="24"/>
          <w:szCs w:val="24"/>
          <w:highlight w:val="none"/>
        </w:rPr>
        <w:t xml:space="preserve"> </w:t>
      </w:r>
      <w:r>
        <w:rPr>
          <w:b/>
          <w:sz w:val="24"/>
          <w:szCs w:val="24"/>
          <w:highlight w:val="none"/>
        </w:rPr>
        <w:t xml:space="preserve">оказания услуг</w:t>
      </w:r>
      <w:r>
        <w:rPr>
          <w:b/>
          <w:sz w:val="24"/>
          <w:szCs w:val="24"/>
          <w:highlight w:val="none"/>
        </w:rPr>
        <w:t xml:space="preserve">:</w:t>
      </w:r>
      <w:r>
        <w:rPr>
          <w:b/>
          <w:sz w:val="24"/>
          <w:szCs w:val="24"/>
          <w:highlight w:val="none"/>
        </w:rPr>
        <w:t xml:space="preserve"> </w:t>
      </w:r>
      <w:r>
        <w:rPr>
          <w:i/>
          <w:sz w:val="24"/>
          <w:szCs w:val="24"/>
        </w:rPr>
        <w:t xml:space="preserve">Россия, Ч</w:t>
      </w:r>
      <w:r>
        <w:rPr>
          <w:i/>
          <w:sz w:val="24"/>
          <w:szCs w:val="24"/>
        </w:rPr>
        <w:t xml:space="preserve">елябинская область, г. Магнитогорск., ПО «Магнитогорские электрические сети».</w:t>
      </w:r>
      <w:r>
        <w:rPr>
          <w:rFonts w:eastAsia="MS Mincho"/>
          <w:color w:val="ff0000"/>
          <w:sz w:val="24"/>
          <w:szCs w:val="24"/>
          <w:highlight w:val="none"/>
        </w:rPr>
      </w:r>
      <w:r>
        <w:rPr>
          <w:rFonts w:eastAsia="MS Mincho"/>
          <w:color w:val="ff0000"/>
          <w:sz w:val="24"/>
          <w:szCs w:val="24"/>
          <w:highlight w:val="none"/>
        </w:rPr>
      </w:r>
    </w:p>
    <w:p>
      <w:pPr>
        <w:jc w:val="both"/>
        <w:tabs>
          <w:tab w:val="left" w:pos="709" w:leader="none"/>
        </w:tabs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pStyle w:val="934"/>
        <w:numPr>
          <w:ilvl w:val="1"/>
          <w:numId w:val="2"/>
        </w:numPr>
        <w:ind w:left="0" w:firstLine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Срок </w:t>
      </w:r>
      <w:r>
        <w:rPr>
          <w:b/>
          <w:sz w:val="24"/>
          <w:szCs w:val="24"/>
          <w:highlight w:val="none"/>
        </w:rPr>
        <w:t xml:space="preserve">оказания услуг</w:t>
      </w:r>
      <w:r>
        <w:rPr>
          <w:b/>
          <w:sz w:val="24"/>
          <w:szCs w:val="24"/>
          <w:highlight w:val="none"/>
        </w:rPr>
        <w:t xml:space="preserve">:</w:t>
      </w:r>
      <w:r>
        <w:rPr>
          <w:bCs/>
          <w:sz w:val="24"/>
          <w:szCs w:val="24"/>
          <w:highlight w:val="none"/>
        </w:rPr>
        <w:t xml:space="preserve"> </w:t>
      </w:r>
      <w:r>
        <w:rPr>
          <w:sz w:val="24"/>
          <w:szCs w:val="24"/>
        </w:rPr>
        <w:t xml:space="preserve">с момента заключения </w:t>
      </w:r>
      <w:r>
        <w:rPr>
          <w:sz w:val="24"/>
          <w:szCs w:val="24"/>
        </w:rPr>
        <w:t xml:space="preserve">договора по 30</w:t>
      </w:r>
      <w:r>
        <w:rPr>
          <w:sz w:val="24"/>
          <w:szCs w:val="24"/>
        </w:rPr>
        <w:t xml:space="preserve">.10</w:t>
      </w:r>
      <w:r>
        <w:rPr>
          <w:sz w:val="24"/>
          <w:szCs w:val="24"/>
        </w:rPr>
        <w:t xml:space="preserve">.202</w:t>
      </w:r>
      <w:r>
        <w:rPr>
          <w:sz w:val="24"/>
          <w:szCs w:val="24"/>
        </w:rPr>
        <w:t xml:space="preserve">6</w:t>
      </w:r>
      <w:r>
        <w:rPr>
          <w:sz w:val="24"/>
          <w:szCs w:val="24"/>
        </w:rPr>
        <w:t xml:space="preserve"> г</w:t>
      </w:r>
      <w:r>
        <w:rPr>
          <w:sz w:val="24"/>
          <w:szCs w:val="24"/>
        </w:rPr>
        <w:t xml:space="preserve">.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pStyle w:val="940"/>
        <w:tabs>
          <w:tab w:val="clear" w:pos="0" w:leader="none"/>
          <w:tab w:val="left" w:pos="708" w:leader="none"/>
        </w:tabs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Источник финансирования: </w:t>
      </w:r>
      <w:r>
        <w:rPr>
          <w:sz w:val="24"/>
          <w:szCs w:val="24"/>
          <w:highlight w:val="none"/>
        </w:rPr>
        <w:t xml:space="preserve">себестоимость.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Ценовые показатели: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217"/>
        <w:gridCol w:w="3886"/>
        <w:gridCol w:w="2011"/>
        <w:gridCol w:w="1174"/>
        <w:gridCol w:w="1805"/>
      </w:tblGrid>
      <w:tr>
        <w:tblPrEx/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закупка/лот (</w:t>
            </w:r>
            <w:r>
              <w:rPr>
                <w:sz w:val="24"/>
                <w:szCs w:val="24"/>
                <w:highlight w:val="none"/>
                <w:lang w:val="en-US"/>
              </w:rPr>
              <w:t xml:space="preserve">ID</w:t>
            </w:r>
            <w:r>
              <w:rPr>
                <w:sz w:val="24"/>
                <w:szCs w:val="24"/>
                <w:highlight w:val="none"/>
              </w:rPr>
              <w:t xml:space="preserve"> заявки)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Наименование лота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Начальная (максимальная) цена в руб. с НДС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commentRangeStart w:id="1"/>
            <w:r>
              <w:rPr>
                <w:sz w:val="24"/>
                <w:szCs w:val="24"/>
                <w:highlight w:val="none"/>
              </w:rPr>
              <w:t xml:space="preserve">в т.ч. НДС,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%</w:t>
            </w:r>
            <w:commentRangeEnd w:id="1"/>
            <w:r>
              <w:commentReference w:id="1"/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Код ОКПД2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 61986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Техническое обслуживание кондиционеров для нужд ПО «МЭС» филиала «Челябэнерго» в 2026 г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303 109,00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33.12.18.000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both"/>
        <w:tabs>
          <w:tab w:val="num" w:pos="0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ab/>
      </w:r>
      <w:r>
        <w:rPr>
          <w:sz w:val="24"/>
          <w:szCs w:val="24"/>
          <w:highlight w:val="none"/>
        </w:rPr>
        <w:t xml:space="preserve">Начальная (максимальная) ц</w:t>
      </w:r>
      <w:r>
        <w:rPr>
          <w:sz w:val="24"/>
          <w:szCs w:val="24"/>
          <w:highlight w:val="none"/>
        </w:rPr>
        <w:t xml:space="preserve">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both"/>
        <w:tabs>
          <w:tab w:val="num" w:pos="0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Условия оплаты.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both"/>
        <w:tabs>
          <w:tab w:val="left" w:pos="709" w:leader="none"/>
        </w:tabs>
        <w:rPr>
          <w:iCs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Оплата за оказанные услуги производится по безналичному расчету путем перечисления денежных средств на расчетный счет Исполнителя в течение 7 (семи) </w:t>
      </w:r>
      <w:r>
        <w:rPr>
          <w:sz w:val="24"/>
          <w:szCs w:val="24"/>
          <w:highlight w:val="none"/>
        </w:rPr>
        <w:t xml:space="preserve">рабочих </w:t>
      </w:r>
      <w:r>
        <w:rPr>
          <w:sz w:val="24"/>
          <w:szCs w:val="24"/>
          <w:highlight w:val="none"/>
        </w:rPr>
        <w:t xml:space="preserve">дней со дня подписания Заказчиком документа о приемке оказанных услуг при наличии подписанного Сторонами Договора оказания услуг в оригинале, </w:t>
      </w:r>
      <w:r>
        <w:rPr>
          <w:iCs/>
          <w:sz w:val="24"/>
          <w:szCs w:val="24"/>
          <w:highlight w:val="none"/>
        </w:rPr>
        <w:t xml:space="preserve">в соответствии с п.2.3 Договора (Приложение №3 к настоящему ТЗ)</w:t>
      </w:r>
      <w:r>
        <w:rPr>
          <w:iCs/>
          <w:sz w:val="24"/>
          <w:szCs w:val="24"/>
          <w:highlight w:val="none"/>
        </w:rPr>
        <w:t xml:space="preserve">.</w:t>
      </w:r>
      <w:r>
        <w:rPr>
          <w:iCs/>
          <w:sz w:val="24"/>
          <w:szCs w:val="24"/>
          <w:highlight w:val="none"/>
        </w:rPr>
      </w:r>
      <w:r>
        <w:rPr>
          <w:iCs/>
          <w:sz w:val="24"/>
          <w:szCs w:val="24"/>
          <w:highlight w:val="none"/>
        </w:rPr>
      </w:r>
    </w:p>
    <w:p>
      <w:pPr>
        <w:jc w:val="both"/>
        <w:tabs>
          <w:tab w:val="left" w:pos="709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Требования к организации и </w:t>
      </w:r>
      <w:r>
        <w:rPr>
          <w:b/>
          <w:sz w:val="24"/>
          <w:szCs w:val="24"/>
          <w:highlight w:val="none"/>
        </w:rPr>
        <w:t xml:space="preserve">оказанию услуг</w:t>
      </w:r>
      <w:r>
        <w:rPr>
          <w:b/>
          <w:sz w:val="24"/>
          <w:szCs w:val="24"/>
          <w:highlight w:val="none"/>
        </w:rPr>
        <w:t xml:space="preserve">: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Услуги</w:t>
      </w:r>
      <w:r>
        <w:rPr>
          <w:sz w:val="24"/>
          <w:szCs w:val="24"/>
          <w:highlight w:val="none"/>
        </w:rPr>
        <w:t xml:space="preserve"> должны быть выполнены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в соответствии настоящим техническим заданием (далее – ТЗ), </w:t>
      </w:r>
      <w:r>
        <w:rPr>
          <w:sz w:val="24"/>
          <w:szCs w:val="24"/>
          <w:highlight w:val="none"/>
        </w:rPr>
        <w:t xml:space="preserve">договором </w:t>
      </w:r>
      <w:r>
        <w:rPr>
          <w:sz w:val="24"/>
          <w:szCs w:val="24"/>
          <w:highlight w:val="none"/>
        </w:rPr>
        <w:t xml:space="preserve">оказания услуг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(Приложение №</w:t>
      </w:r>
      <w:r>
        <w:rPr>
          <w:sz w:val="24"/>
          <w:szCs w:val="24"/>
          <w:highlight w:val="none"/>
        </w:rPr>
        <w:t xml:space="preserve">2</w:t>
      </w:r>
      <w:r>
        <w:rPr>
          <w:sz w:val="24"/>
          <w:szCs w:val="24"/>
          <w:highlight w:val="none"/>
        </w:rPr>
        <w:t xml:space="preserve"> к настоящему ТЗ)</w:t>
      </w:r>
      <w:r>
        <w:rPr>
          <w:sz w:val="24"/>
          <w:szCs w:val="24"/>
          <w:highlight w:val="none"/>
        </w:rPr>
        <w:t xml:space="preserve">,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Услуги</w:t>
      </w:r>
      <w:r>
        <w:rPr>
          <w:sz w:val="24"/>
          <w:szCs w:val="24"/>
          <w:highlight w:val="none"/>
        </w:rPr>
        <w:t xml:space="preserve"> должны быть выполнены с соблюдением </w:t>
      </w:r>
      <w:r>
        <w:rPr>
          <w:sz w:val="24"/>
          <w:szCs w:val="24"/>
          <w:highlight w:val="none"/>
        </w:rPr>
        <w:t xml:space="preserve">требований,</w:t>
      </w:r>
      <w:r>
        <w:rPr>
          <w:sz w:val="24"/>
          <w:szCs w:val="24"/>
          <w:highlight w:val="none"/>
        </w:rPr>
        <w:t xml:space="preserve"> действующих РД, СП, СНиП, требованиями ПУЭ, действующим законодательством Российской Федерации.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firstLine="0"/>
        <w:jc w:val="both"/>
        <w:tabs>
          <w:tab w:val="left" w:pos="709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rFonts w:eastAsia="MS Mincho"/>
          <w:color w:val="000000" w:themeColor="text1"/>
          <w:sz w:val="24"/>
          <w:szCs w:val="24"/>
          <w:highlight w:val="none"/>
          <w:lang w:eastAsia="ja-JP"/>
        </w:rPr>
        <w:t xml:space="preserve">1.9.3 </w:t>
      </w:r>
      <w:r>
        <w:rPr>
          <w:rFonts w:eastAsia="MS Mincho"/>
          <w:color w:val="000000" w:themeColor="text1"/>
          <w:sz w:val="24"/>
          <w:szCs w:val="24"/>
          <w:highlight w:val="none"/>
          <w:lang w:eastAsia="ja-JP"/>
        </w:rPr>
        <w:t xml:space="preserve">Исполнитель должен самостоятельно (без привлечения субподрядчиков) </w:t>
      </w:r>
      <w:r>
        <w:rPr>
          <w:rFonts w:eastAsia="MS Mincho"/>
          <w:color w:val="000000" w:themeColor="text1"/>
          <w:sz w:val="24"/>
          <w:szCs w:val="24"/>
          <w:highlight w:val="none"/>
          <w:lang w:eastAsia="ja-JP"/>
        </w:rPr>
        <w:t xml:space="preserve">оказывать услуги</w:t>
      </w:r>
      <w:r>
        <w:rPr>
          <w:rFonts w:eastAsia="MS Mincho"/>
          <w:color w:val="000000" w:themeColor="text1"/>
          <w:sz w:val="24"/>
          <w:szCs w:val="24"/>
          <w:highlight w:val="none"/>
          <w:lang w:eastAsia="ja-JP"/>
        </w:rPr>
        <w:t xml:space="preserve">, общая стоимость которых должна составлять не менее 50% от цены, указанной в заявке, без учета стоимости материалов и оборудов</w:t>
      </w:r>
      <w:r>
        <w:rPr>
          <w:rFonts w:eastAsia="MS Mincho"/>
          <w:color w:val="000000" w:themeColor="text1"/>
          <w:sz w:val="24"/>
          <w:szCs w:val="24"/>
          <w:highlight w:val="none"/>
          <w:lang w:eastAsia="ja-JP"/>
        </w:rPr>
        <w:t xml:space="preserve">ания, приобретаемых </w:t>
      </w:r>
      <w:r>
        <w:rPr>
          <w:rFonts w:eastAsia="MS Mincho"/>
          <w:color w:val="000000" w:themeColor="text1"/>
          <w:sz w:val="24"/>
          <w:szCs w:val="24"/>
          <w:highlight w:val="none"/>
          <w:lang w:eastAsia="ja-JP"/>
        </w:rPr>
        <w:t xml:space="preserve">Исполнителем </w:t>
      </w:r>
      <w:r>
        <w:rPr>
          <w:iCs/>
          <w:color w:val="000000" w:themeColor="text1"/>
          <w:sz w:val="24"/>
          <w:szCs w:val="24"/>
          <w:highlight w:val="none"/>
        </w:rPr>
        <w:t xml:space="preserve">в соответствии с п.2.3</w:t>
      </w:r>
      <w:r>
        <w:rPr>
          <w:iCs/>
          <w:color w:val="000000" w:themeColor="text1"/>
          <w:sz w:val="24"/>
          <w:szCs w:val="24"/>
          <w:highlight w:val="none"/>
        </w:rPr>
        <w:t xml:space="preserve"> Договора (Приложение №3 к настоящему ТЗ).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jc w:val="both"/>
        <w:tabs>
          <w:tab w:val="left" w:pos="709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62"/>
        <w:numPr>
          <w:ilvl w:val="0"/>
          <w:numId w:val="2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 w:val="24"/>
          <w:szCs w:val="24"/>
          <w:highlight w:val="none"/>
        </w:rPr>
      </w:pPr>
      <w:r>
        <w:rPr>
          <w:rFonts w:eastAsia="SimSun"/>
          <w:sz w:val="24"/>
          <w:szCs w:val="24"/>
          <w:highlight w:val="none"/>
        </w:rPr>
        <w:t xml:space="preserve">Организационно-технические требования к Участникам закупки:</w:t>
      </w:r>
      <w:r>
        <w:rPr>
          <w:rFonts w:eastAsia="SimSun"/>
          <w:sz w:val="24"/>
          <w:szCs w:val="24"/>
          <w:highlight w:val="none"/>
        </w:rPr>
      </w:r>
      <w:r>
        <w:rPr>
          <w:rFonts w:eastAsia="SimSun"/>
          <w:sz w:val="24"/>
          <w:szCs w:val="24"/>
          <w:highlight w:val="none"/>
        </w:rPr>
      </w:r>
    </w:p>
    <w:p>
      <w:pPr>
        <w:pStyle w:val="963"/>
        <w:numPr>
          <w:ilvl w:val="1"/>
          <w:numId w:val="2"/>
        </w:numPr>
        <w:ind w:left="0" w:right="0" w:firstLine="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Участник закупки должен соответствовать следующим обязательным требованиям (отборочные требования):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64"/>
        <w:numPr>
          <w:ilvl w:val="2"/>
          <w:numId w:val="2"/>
        </w:numPr>
        <w:ind w:left="0" w:firstLine="0"/>
        <w:spacing w:before="0" w:after="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  <w:lang w:eastAsia="ja-JP"/>
        </w:rPr>
        <w:t xml:space="preserve">Техническое предложение участника закупки, в том числе предложение по качеству оказания услуг должно соответствовать требованиям Технического задания (</w:t>
      </w:r>
      <w:r>
        <w:rPr>
          <w:sz w:val="24"/>
          <w:szCs w:val="24"/>
          <w:highlight w:val="none"/>
        </w:rPr>
        <w:t xml:space="preserve">«Техническая часть» Документации).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64"/>
        <w:numPr>
          <w:ilvl w:val="2"/>
          <w:numId w:val="2"/>
        </w:numPr>
        <w:contextualSpacing/>
        <w:ind w:left="0" w:firstLine="0"/>
        <w:spacing w:before="0" w:after="0"/>
        <w:tabs>
          <w:tab w:val="left" w:pos="709" w:leader="none"/>
        </w:tabs>
        <w:rPr>
          <w:rFonts w:eastAsia="MS Mincho"/>
          <w:sz w:val="24"/>
          <w:szCs w:val="24"/>
          <w:highlight w:val="none"/>
        </w:rPr>
      </w:pPr>
      <w:r>
        <w:rPr>
          <w:rFonts w:eastAsia="MS Mincho"/>
          <w:sz w:val="24"/>
          <w:szCs w:val="24"/>
          <w:highlight w:val="none"/>
          <w:lang w:eastAsia="ja-JP"/>
        </w:rPr>
        <w:t xml:space="preserve">Иметь в составе заявки комплект документов, перечисленный в п.3 </w:t>
      </w:r>
      <w:r>
        <w:rPr>
          <w:sz w:val="24"/>
          <w:szCs w:val="24"/>
          <w:highlight w:val="none"/>
        </w:rPr>
        <w:t xml:space="preserve">настоящего </w:t>
      </w:r>
      <w:r>
        <w:rPr>
          <w:rFonts w:eastAsia="MS Mincho"/>
          <w:sz w:val="24"/>
          <w:szCs w:val="24"/>
          <w:highlight w:val="none"/>
          <w:lang w:eastAsia="ja-JP"/>
        </w:rPr>
        <w:t xml:space="preserve">ТЗ</w:t>
      </w:r>
      <w:r>
        <w:rPr>
          <w:rFonts w:eastAsia="MS Mincho"/>
          <w:sz w:val="24"/>
          <w:szCs w:val="24"/>
          <w:highlight w:val="none"/>
          <w:lang w:eastAsia="ja-JP"/>
        </w:rPr>
        <w:t xml:space="preserve">.</w:t>
      </w:r>
      <w:r>
        <w:rPr>
          <w:rFonts w:eastAsia="MS Mincho"/>
          <w:sz w:val="24"/>
          <w:szCs w:val="24"/>
          <w:highlight w:val="none"/>
        </w:rPr>
      </w:r>
      <w:r>
        <w:rPr>
          <w:rFonts w:eastAsia="MS Mincho"/>
          <w:sz w:val="24"/>
          <w:szCs w:val="24"/>
          <w:highlight w:val="none"/>
        </w:rPr>
      </w:r>
    </w:p>
    <w:p>
      <w:pPr>
        <w:pStyle w:val="964"/>
        <w:numPr>
          <w:ilvl w:val="2"/>
          <w:numId w:val="2"/>
        </w:numPr>
        <w:contextualSpacing/>
        <w:ind w:left="0" w:firstLine="0"/>
        <w:spacing w:before="0" w:after="0"/>
        <w:tabs>
          <w:tab w:val="left" w:pos="709" w:leader="none"/>
        </w:tabs>
        <w:rPr>
          <w:rFonts w:eastAsia="MS Mincho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Участником закупки могут быть только су</w:t>
      </w:r>
      <w:r>
        <w:rPr>
          <w:sz w:val="24"/>
          <w:szCs w:val="24"/>
          <w:highlight w:val="none"/>
        </w:rPr>
        <w:t xml:space="preserve">бъекты малого и среднего предпринимательства, в соответствии с Постановлением Правительства РФ от 11.12.2014 №1352 "Об особенностях участия субъектов малого и среднего предпринимательства в закупках товаров, работ, услуг отдельными видами юридических лиц".</w:t>
      </w:r>
      <w:r>
        <w:rPr>
          <w:rFonts w:eastAsia="MS Mincho"/>
          <w:sz w:val="24"/>
          <w:szCs w:val="24"/>
          <w:highlight w:val="none"/>
        </w:rPr>
      </w:r>
      <w:r>
        <w:rPr>
          <w:rFonts w:eastAsia="MS Mincho"/>
          <w:sz w:val="24"/>
          <w:szCs w:val="24"/>
          <w:highlight w:val="none"/>
        </w:rPr>
      </w:r>
    </w:p>
    <w:p>
      <w:pPr>
        <w:pStyle w:val="964"/>
        <w:numPr>
          <w:ilvl w:val="0"/>
          <w:numId w:val="0"/>
        </w:numPr>
        <w:contextualSpacing/>
        <w:tabs>
          <w:tab w:val="left" w:pos="709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62"/>
        <w:numPr>
          <w:ilvl w:val="0"/>
          <w:numId w:val="2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 w:val="24"/>
          <w:szCs w:val="24"/>
          <w:highlight w:val="none"/>
        </w:rPr>
      </w:pPr>
      <w:r>
        <w:rPr>
          <w:rFonts w:eastAsia="SimSun"/>
          <w:sz w:val="24"/>
          <w:szCs w:val="24"/>
          <w:highlight w:val="none"/>
        </w:rPr>
        <w:t xml:space="preserve">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sz w:val="24"/>
          <w:szCs w:val="24"/>
          <w:highlight w:val="none"/>
        </w:rPr>
      </w:r>
      <w:r>
        <w:rPr>
          <w:rFonts w:eastAsia="SimSun"/>
          <w:sz w:val="24"/>
          <w:szCs w:val="24"/>
          <w:highlight w:val="none"/>
        </w:rPr>
      </w:r>
    </w:p>
    <w:p>
      <w:pPr>
        <w:pStyle w:val="934"/>
        <w:numPr>
          <w:ilvl w:val="1"/>
          <w:numId w:val="2"/>
        </w:numPr>
        <w:ind w:left="0" w:firstLine="0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color w:val="000000" w:themeColor="text1"/>
          <w:sz w:val="24"/>
          <w:szCs w:val="24"/>
          <w:highlight w:val="white"/>
          <w:lang w:eastAsia="en-US"/>
        </w:rPr>
        <w:t xml:space="preserve">Техническое предложение, заполненное Участником по форме  Приложения №3 к Техническому заданию, в соответствии с инструкцией по заполнению,  с указанием информации в объеме, достаточном для анализа выполнения  требований настоящего Технического задания</w:t>
      </w:r>
      <w:r>
        <w:rPr>
          <w:rFonts w:eastAsia="Calibri"/>
          <w:sz w:val="24"/>
          <w:szCs w:val="24"/>
          <w:highlight w:val="white"/>
          <w:lang w:eastAsia="en-US"/>
        </w:rPr>
        <w:t xml:space="preserve">.</w:t>
      </w:r>
      <w:r>
        <w:rPr>
          <w:rFonts w:eastAsia="Calibri"/>
          <w:sz w:val="24"/>
          <w:szCs w:val="24"/>
          <w:highlight w:val="none"/>
          <w:lang w:eastAsia="en-US"/>
        </w:rPr>
        <w:t xml:space="preserve"> 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964"/>
        <w:numPr>
          <w:ilvl w:val="1"/>
          <w:numId w:val="2"/>
        </w:numPr>
        <w:ind w:left="0" w:firstLine="0"/>
        <w:spacing w:before="0" w:after="0"/>
        <w:tabs>
          <w:tab w:val="left" w:pos="567" w:leader="none"/>
          <w:tab w:val="left" w:pos="1701" w:leader="none"/>
        </w:tabs>
        <w:rPr>
          <w:rFonts w:eastAsia="Calibri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В составе ценового предложения Участник д</w:t>
      </w:r>
      <w:r>
        <w:rPr>
          <w:sz w:val="24"/>
          <w:szCs w:val="24"/>
          <w:highlight w:val="none"/>
        </w:rPr>
        <w:t xml:space="preserve">олжен предоставить Приложение №4</w:t>
      </w:r>
      <w:r>
        <w:rPr>
          <w:sz w:val="24"/>
          <w:szCs w:val="24"/>
          <w:highlight w:val="none"/>
        </w:rPr>
        <w:t xml:space="preserve"> к Техническому заданию – Расчет стоимости услуг, 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заполненное строго по форме Заказчика: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964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Не допускается изменять форму </w:t>
      </w:r>
      <w:r>
        <w:rPr>
          <w:sz w:val="24"/>
          <w:szCs w:val="24"/>
          <w:highlight w:val="none"/>
        </w:rPr>
        <w:t xml:space="preserve">Приложение №</w:t>
      </w:r>
      <w:r>
        <w:rPr>
          <w:sz w:val="24"/>
          <w:szCs w:val="24"/>
          <w:highlight w:val="none"/>
        </w:rPr>
        <w:t xml:space="preserve">4</w:t>
      </w:r>
      <w:r>
        <w:rPr>
          <w:sz w:val="24"/>
          <w:szCs w:val="24"/>
          <w:highlight w:val="none"/>
        </w:rPr>
        <w:t xml:space="preserve"> к Техническому заданию -</w:t>
      </w:r>
      <w:r>
        <w:rPr>
          <w:rFonts w:eastAsia="Calibri"/>
          <w:sz w:val="24"/>
          <w:szCs w:val="24"/>
          <w:highlight w:val="none"/>
          <w:lang w:eastAsia="en-US"/>
        </w:rPr>
        <w:t xml:space="preserve"> </w:t>
      </w:r>
      <w:r>
        <w:rPr>
          <w:sz w:val="24"/>
          <w:szCs w:val="24"/>
          <w:highlight w:val="none"/>
        </w:rPr>
        <w:t xml:space="preserve">Расчет стоимости услуг</w:t>
      </w:r>
      <w:r>
        <w:rPr>
          <w:rFonts w:eastAsia="Calibri"/>
          <w:sz w:val="24"/>
          <w:szCs w:val="24"/>
          <w:highlight w:val="none"/>
          <w:lang w:eastAsia="en-US"/>
        </w:rPr>
        <w:t xml:space="preserve">. 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964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Цена заявки, объявленная Участником, признанным победителем, является окончательной, неизменной и включает в себя все расходы, в том числе на выплату налогов, оплату всех прочих услуг и затрат.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964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Несоответствие Расчета стоимости</w:t>
      </w:r>
      <w:r>
        <w:rPr>
          <w:sz w:val="24"/>
          <w:szCs w:val="24"/>
          <w:highlight w:val="none"/>
        </w:rPr>
        <w:t xml:space="preserve"> услуг</w:t>
      </w:r>
      <w:r>
        <w:rPr>
          <w:sz w:val="24"/>
          <w:szCs w:val="24"/>
          <w:highlight w:val="none"/>
        </w:rPr>
        <w:t xml:space="preserve">, предоставленного Участником в составе заявки, указанным требования является основанием для отклонения заявки Участника.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934"/>
        <w:numPr>
          <w:ilvl w:val="0"/>
          <w:numId w:val="2"/>
        </w:numPr>
        <w:ind w:left="0" w:firstLine="0"/>
        <w:jc w:val="both"/>
        <w:keepLines/>
        <w:spacing w:before="120" w:after="120"/>
        <w:tabs>
          <w:tab w:val="left" w:pos="709" w:leader="none"/>
        </w:tabs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Выбор победителя закупки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pStyle w:val="934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sz w:val="24"/>
          <w:szCs w:val="24"/>
          <w:highlight w:val="white"/>
        </w:rPr>
        <w:outlineLvl w:val="0"/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57"/>
        <w:ind w:firstLine="709"/>
        <w:jc w:val="both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ind w:firstLine="709"/>
        <w:jc w:val="both"/>
        <w:tabs>
          <w:tab w:val="left" w:pos="567" w:leader="none"/>
        </w:tabs>
        <w:rPr>
          <w:color w:val="000000" w:themeColor="text1"/>
          <w:sz w:val="24"/>
          <w:szCs w:val="24"/>
          <w:highlight w:val="none"/>
        </w:rPr>
      </w:pPr>
      <w:r>
        <w:rPr>
          <w:rFonts w:eastAsia="Calibri"/>
          <w:color w:val="000000" w:themeColor="text1"/>
          <w:sz w:val="24"/>
          <w:szCs w:val="24"/>
          <w:highlight w:val="none"/>
        </w:rPr>
        <w:t xml:space="preserve">Если Правительством Российской Федерации в соответствии с законодательством о порядке применения национального режима установлено преимущество в отношении работ, услуг, соответственно выполняемых, оказываемых российским лицом: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pStyle w:val="934"/>
        <w:numPr>
          <w:ilvl w:val="0"/>
          <w:numId w:val="46"/>
        </w:numPr>
        <w:ind w:left="0" w:right="0" w:firstLine="709"/>
        <w:jc w:val="both"/>
        <w:tabs>
          <w:tab w:val="left" w:pos="992" w:leader="none"/>
        </w:tabs>
        <w:rPr>
          <w:rFonts w:eastAsia="Calibri"/>
          <w:color w:val="000000" w:themeColor="text1"/>
          <w:sz w:val="24"/>
          <w:szCs w:val="24"/>
          <w:highlight w:val="none"/>
        </w:rPr>
      </w:pPr>
      <w:r>
        <w:rPr>
          <w:rFonts w:eastAsia="Calibri"/>
          <w:color w:val="000000" w:themeColor="text1"/>
          <w:sz w:val="24"/>
          <w:szCs w:val="24"/>
          <w:highlight w:val="none"/>
        </w:rPr>
        <w:t xml:space="preserve">при рассмотрении, оценке, сопоставлении заявок на участие в конкурентной закупке,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</w:t>
      </w:r>
      <w:r>
        <w:rPr>
          <w:rFonts w:eastAsia="Calibri"/>
          <w:color w:val="000000" w:themeColor="text1"/>
          <w:sz w:val="24"/>
          <w:szCs w:val="24"/>
          <w:highlight w:val="none"/>
        </w:rPr>
        <w:t xml:space="preserve">Законом 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rFonts w:eastAsia="Calibri"/>
          <w:color w:val="000000" w:themeColor="text1"/>
          <w:sz w:val="24"/>
          <w:szCs w:val="24"/>
          <w:highlight w:val="none"/>
        </w:rPr>
      </w:r>
      <w:r>
        <w:rPr>
          <w:rFonts w:eastAsia="Calibri"/>
          <w:color w:val="000000" w:themeColor="text1"/>
          <w:sz w:val="24"/>
          <w:szCs w:val="24"/>
          <w:highlight w:val="none"/>
        </w:rPr>
      </w:r>
    </w:p>
    <w:p>
      <w:pPr>
        <w:pStyle w:val="934"/>
        <w:numPr>
          <w:ilvl w:val="0"/>
          <w:numId w:val="46"/>
        </w:numPr>
        <w:ind w:left="0" w:right="0" w:firstLine="709"/>
        <w:jc w:val="both"/>
        <w:tabs>
          <w:tab w:val="left" w:pos="992" w:leader="none"/>
        </w:tabs>
        <w:rPr>
          <w:rFonts w:eastAsia="Calibri"/>
          <w:color w:val="000000" w:themeColor="text1"/>
          <w:sz w:val="24"/>
          <w:szCs w:val="24"/>
          <w:highlight w:val="none"/>
        </w:rPr>
      </w:pPr>
      <w:r>
        <w:rPr>
          <w:rFonts w:eastAsia="Calibri"/>
          <w:color w:val="000000" w:themeColor="text1"/>
          <w:sz w:val="24"/>
          <w:szCs w:val="24"/>
          <w:highlight w:val="none"/>
        </w:rPr>
      </w:r>
      <w:r>
        <w:rPr>
          <w:rFonts w:eastAsia="Calibri"/>
          <w:color w:val="000000" w:themeColor="text1"/>
          <w:sz w:val="24"/>
          <w:szCs w:val="24"/>
          <w:highlight w:val="none"/>
        </w:rPr>
        <w:t xml:space="preserve">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rFonts w:eastAsia="Calibri"/>
          <w:color w:val="000000" w:themeColor="text1"/>
          <w:sz w:val="24"/>
          <w:szCs w:val="24"/>
          <w:highlight w:val="none"/>
        </w:rPr>
      </w:r>
      <w:r>
        <w:rPr>
          <w:rFonts w:eastAsia="Calibri"/>
          <w:color w:val="000000" w:themeColor="text1"/>
          <w:sz w:val="24"/>
          <w:szCs w:val="24"/>
          <w:highlight w:val="none"/>
        </w:rPr>
      </w:r>
    </w:p>
    <w:p>
      <w:pPr>
        <w:pStyle w:val="934"/>
        <w:ind w:left="0" w:right="0" w:firstLine="709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sz w:val="24"/>
          <w:szCs w:val="24"/>
          <w:highlight w:val="none"/>
        </w:rPr>
        <w:outlineLvl w:val="0"/>
      </w:pPr>
      <w:r>
        <w:rPr>
          <w:rFonts w:eastAsia="Calibri"/>
          <w:color w:val="000000" w:themeColor="text1"/>
          <w:sz w:val="24"/>
          <w:szCs w:val="24"/>
          <w:highlight w:val="none"/>
        </w:rPr>
      </w:r>
      <w:r>
        <w:rPr>
          <w:rFonts w:eastAsia="Calibri"/>
          <w:color w:val="000000" w:themeColor="text1"/>
          <w:sz w:val="24"/>
          <w:szCs w:val="24"/>
          <w:highlight w:val="none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rFonts w:eastAsia="Calibri"/>
          <w:color w:val="000000" w:themeColor="text1"/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34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sz w:val="24"/>
          <w:szCs w:val="24"/>
          <w:highlight w:val="none"/>
        </w:rPr>
        <w:outlineLvl w:val="0"/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34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sz w:val="24"/>
          <w:szCs w:val="24"/>
          <w:highlight w:val="none"/>
        </w:rPr>
        <w:outlineLvl w:val="0"/>
      </w:pPr>
      <w:r>
        <w:rPr>
          <w:rStyle w:val="954"/>
          <w:rFonts w:ascii="Times New Roman" w:hAnsi="Times New Roman" w:cs="Times New Roman"/>
          <w:b/>
          <w:i/>
          <w:color w:val="auto"/>
          <w:sz w:val="24"/>
          <w:szCs w:val="24"/>
          <w:highlight w:val="white"/>
        </w:rPr>
        <w:t xml:space="preserve">Приложение 1 (</w:t>
      </w:r>
      <w:r>
        <w:rPr>
          <w:rStyle w:val="954"/>
          <w:rFonts w:ascii="Times New Roman" w:hAnsi="Times New Roman" w:cs="Times New Roman"/>
          <w:i/>
          <w:color w:val="auto"/>
          <w:sz w:val="24"/>
          <w:szCs w:val="24"/>
          <w:highlight w:val="white"/>
        </w:rPr>
        <w:t xml:space="preserve">обязательное</w:t>
      </w:r>
      <w:bookmarkStart w:id="3" w:name="_Toc439063132"/>
      <w:r>
        <w:rPr>
          <w:rStyle w:val="954"/>
          <w:rFonts w:ascii="Times New Roman" w:hAnsi="Times New Roman" w:cs="Times New Roman"/>
          <w:i/>
          <w:color w:val="auto"/>
          <w:sz w:val="24"/>
          <w:szCs w:val="24"/>
          <w:highlight w:val="white"/>
        </w:rPr>
        <w:t xml:space="preserve">). 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Обоснование начальной (максимальной) цены договора (форма).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none"/>
        </w:rPr>
      </w:r>
    </w:p>
    <w:p>
      <w:pPr>
        <w:pStyle w:val="934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i/>
          <w:sz w:val="24"/>
          <w:szCs w:val="24"/>
          <w:highlight w:val="white"/>
        </w:rPr>
        <w:outlineLvl w:val="0"/>
      </w:pPr>
      <w:r>
        <w:rPr>
          <w:sz w:val="24"/>
          <w:szCs w:val="24"/>
          <w:highlight w:val="white"/>
        </w:rPr>
      </w:r>
      <w:bookmarkStart w:id="4" w:name="_Toc8120155"/>
      <w:r>
        <w:rPr>
          <w:rStyle w:val="954"/>
          <w:rFonts w:ascii="Times New Roman" w:hAnsi="Times New Roman" w:cs="Times New Roman"/>
          <w:b/>
          <w:i/>
          <w:color w:val="auto"/>
          <w:sz w:val="24"/>
          <w:szCs w:val="24"/>
          <w:highlight w:val="white"/>
        </w:rPr>
        <w:t xml:space="preserve">Приложение 2</w:t>
      </w:r>
      <w:r>
        <w:rPr>
          <w:rStyle w:val="954"/>
          <w:rFonts w:ascii="Times New Roman" w:hAnsi="Times New Roman" w:cs="Times New Roman"/>
          <w:i/>
          <w:color w:val="auto"/>
          <w:sz w:val="24"/>
          <w:szCs w:val="24"/>
          <w:highlight w:val="white"/>
        </w:rPr>
        <w:t xml:space="preserve"> </w:t>
      </w:r>
      <w:r>
        <w:rPr>
          <w:rStyle w:val="954"/>
          <w:rFonts w:ascii="Times New Roman" w:hAnsi="Times New Roman" w:cs="Times New Roman"/>
          <w:b/>
          <w:i/>
          <w:color w:val="auto"/>
          <w:sz w:val="24"/>
          <w:szCs w:val="24"/>
          <w:highlight w:val="white"/>
        </w:rPr>
        <w:t xml:space="preserve">(</w:t>
      </w:r>
      <w:r>
        <w:rPr>
          <w:rStyle w:val="954"/>
          <w:rFonts w:ascii="Times New Roman" w:hAnsi="Times New Roman" w:cs="Times New Roman"/>
          <w:i/>
          <w:color w:val="auto"/>
          <w:sz w:val="24"/>
          <w:szCs w:val="24"/>
          <w:highlight w:val="white"/>
        </w:rPr>
        <w:t xml:space="preserve">обязательное). </w:t>
      </w:r>
      <w:bookmarkEnd w:id="4"/>
      <w:r>
        <w:rPr>
          <w:sz w:val="24"/>
          <w:szCs w:val="24"/>
          <w:highlight w:val="white"/>
        </w:rPr>
        <w:t xml:space="preserve">Проект договора (форма).</w:t>
      </w:r>
      <w:r>
        <w:rPr>
          <w:i/>
          <w:sz w:val="24"/>
          <w:szCs w:val="24"/>
          <w:highlight w:val="white"/>
        </w:rPr>
        <w:t xml:space="preserve"> </w:t>
      </w:r>
      <w:bookmarkEnd w:id="3"/>
      <w:r>
        <w:rPr>
          <w:i/>
          <w:sz w:val="24"/>
          <w:szCs w:val="24"/>
          <w:highlight w:val="white"/>
        </w:rPr>
      </w:r>
      <w:r>
        <w:rPr>
          <w:i/>
          <w:sz w:val="24"/>
          <w:szCs w:val="24"/>
          <w:highlight w:val="white"/>
        </w:rPr>
      </w:r>
    </w:p>
    <w:p>
      <w:pPr>
        <w:pStyle w:val="934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rStyle w:val="954"/>
          <w:rFonts w:ascii="Times New Roman" w:hAnsi="Times New Roman" w:cs="Times New Roman"/>
          <w:color w:val="auto"/>
          <w:sz w:val="24"/>
          <w:szCs w:val="24"/>
          <w:highlight w:val="none"/>
        </w:rPr>
        <w:outlineLvl w:val="0"/>
      </w:pPr>
      <w:r>
        <w:rPr>
          <w:rStyle w:val="954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 xml:space="preserve">Приложение 3 (</w:t>
      </w:r>
      <w:r>
        <w:rPr>
          <w:rStyle w:val="954"/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обязательное). </w:t>
      </w:r>
      <w:r>
        <w:rPr>
          <w:rStyle w:val="954"/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Техническое предложение (форма).</w:t>
      </w:r>
      <w:r>
        <w:rPr>
          <w:rStyle w:val="954"/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Style w:val="954"/>
          <w:rFonts w:ascii="Times New Roman" w:hAnsi="Times New Roman" w:cs="Times New Roman"/>
          <w:color w:val="auto"/>
          <w:sz w:val="24"/>
          <w:szCs w:val="24"/>
          <w:highlight w:val="none"/>
        </w:rPr>
      </w:r>
      <w:r>
        <w:rPr>
          <w:rStyle w:val="954"/>
          <w:rFonts w:ascii="Times New Roman" w:hAnsi="Times New Roman" w:cs="Times New Roman"/>
          <w:color w:val="auto"/>
          <w:sz w:val="24"/>
          <w:szCs w:val="24"/>
          <w:highlight w:val="none"/>
        </w:rPr>
      </w:r>
    </w:p>
    <w:p>
      <w:pPr>
        <w:pStyle w:val="934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sz w:val="24"/>
          <w:szCs w:val="24"/>
          <w:highlight w:val="none"/>
        </w:rPr>
        <w:outlineLvl w:val="0"/>
      </w:pPr>
      <w:r>
        <w:rPr>
          <w:rStyle w:val="954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 xml:space="preserve">Приложение </w:t>
      </w:r>
      <w:r>
        <w:rPr>
          <w:rStyle w:val="954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 xml:space="preserve">4</w:t>
      </w:r>
      <w:r>
        <w:rPr>
          <w:rStyle w:val="954"/>
          <w:rFonts w:ascii="Times New Roman" w:hAnsi="Times New Roman" w:cs="Times New Roman"/>
          <w:b/>
          <w:i/>
          <w:color w:val="auto"/>
          <w:sz w:val="24"/>
          <w:szCs w:val="24"/>
          <w:highlight w:val="none"/>
        </w:rPr>
        <w:t xml:space="preserve"> (</w:t>
      </w:r>
      <w:r>
        <w:rPr>
          <w:rStyle w:val="954"/>
          <w:rFonts w:ascii="Times New Roman" w:hAnsi="Times New Roman" w:cs="Times New Roman"/>
          <w:i/>
          <w:color w:val="auto"/>
          <w:sz w:val="24"/>
          <w:szCs w:val="24"/>
          <w:highlight w:val="none"/>
        </w:rPr>
        <w:t xml:space="preserve">обязательное). </w:t>
      </w:r>
      <w:r>
        <w:rPr>
          <w:rStyle w:val="954"/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Расчет</w:t>
      </w:r>
      <w:r>
        <w:rPr>
          <w:sz w:val="24"/>
          <w:szCs w:val="24"/>
          <w:highlight w:val="none"/>
        </w:rPr>
        <w:t xml:space="preserve"> стоимости </w:t>
      </w:r>
      <w:r>
        <w:rPr>
          <w:sz w:val="24"/>
          <w:szCs w:val="24"/>
          <w:highlight w:val="none"/>
        </w:rPr>
        <w:t xml:space="preserve">услуг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both"/>
        <w:tabs>
          <w:tab w:val="left" w:pos="360" w:leader="none"/>
          <w:tab w:val="left" w:pos="993" w:leader="none"/>
        </w:tabs>
        <w:rPr>
          <w:bCs/>
          <w:color w:val="000000"/>
          <w:sz w:val="24"/>
          <w:szCs w:val="24"/>
          <w:highlight w:val="none"/>
        </w:rPr>
      </w:pPr>
      <w:r>
        <w:rPr>
          <w:bCs/>
          <w:color w:val="000000"/>
          <w:sz w:val="24"/>
          <w:szCs w:val="24"/>
          <w:highlight w:val="none"/>
        </w:rPr>
      </w:r>
      <w:r>
        <w:rPr>
          <w:bCs/>
          <w:color w:val="000000"/>
          <w:sz w:val="24"/>
          <w:szCs w:val="24"/>
          <w:highlight w:val="none"/>
        </w:rPr>
      </w:r>
      <w:r>
        <w:rPr>
          <w:bCs/>
          <w:color w:val="000000"/>
          <w:sz w:val="24"/>
          <w:szCs w:val="24"/>
          <w:highlight w:val="none"/>
        </w:rPr>
      </w:r>
    </w:p>
    <w:p>
      <w:pPr>
        <w:ind w:right="76"/>
        <w:jc w:val="both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276" w:lineRule="auto"/>
        <w:rPr>
          <w:b/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Техническое задание </w:t>
      </w:r>
      <w:r>
        <w:rPr>
          <w:b w:val="0"/>
          <w:bCs w:val="0"/>
          <w:sz w:val="24"/>
          <w:szCs w:val="24"/>
          <w:highlight w:val="white"/>
        </w:rPr>
        <w:t xml:space="preserve">с</w:t>
      </w:r>
      <w:r>
        <w:rPr>
          <w:b w:val="0"/>
          <w:bCs w:val="0"/>
          <w:sz w:val="24"/>
          <w:szCs w:val="24"/>
          <w:highlight w:val="white"/>
        </w:rPr>
        <w:t xml:space="preserve">оставил:</w:t>
      </w:r>
      <w:r>
        <w:rPr>
          <w:b/>
          <w:sz w:val="24"/>
          <w:szCs w:val="24"/>
          <w:highlight w:val="white"/>
        </w:rPr>
        <w:tab/>
      </w:r>
      <w:r>
        <w:rPr>
          <w:b/>
          <w:sz w:val="24"/>
          <w:szCs w:val="24"/>
          <w:highlight w:val="white"/>
        </w:rPr>
        <w:tab/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tbl>
      <w:tblPr>
        <w:tblW w:w="9351" w:type="dxa"/>
        <w:tblLayout w:type="fixed"/>
        <w:tblLook w:val="0000" w:firstRow="0" w:lastRow="0" w:firstColumn="0" w:lastColumn="0" w:noHBand="0" w:noVBand="0"/>
      </w:tblPr>
      <w:tblGrid>
        <w:gridCol w:w="4368"/>
        <w:gridCol w:w="3036"/>
      </w:tblGrid>
      <w:tr>
        <w:tblPrEx/>
        <w:trPr>
          <w:cantSplit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Должность, структурное подразделение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Фамилия, инициалы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trHeight w:val="5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68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  <w:highlight w:val="none"/>
              </w:rPr>
              <w:t xml:space="preserve">Вед. специалист ГрЭЗиС УЭиТОиР Челябэнерго</w:t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36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  <w:highlight w:val="none"/>
              </w:rPr>
              <w:t xml:space="preserve">Хазова В.Н.</w:t>
            </w:r>
            <w:r>
              <w:rPr>
                <w:sz w:val="24"/>
                <w:szCs w:val="24"/>
                <w:highlight w:val="cyan"/>
              </w:rPr>
            </w:r>
            <w:r>
              <w:rPr>
                <w:sz w:val="24"/>
                <w:szCs w:val="24"/>
                <w:highlight w:val="cyan"/>
              </w:rPr>
            </w:r>
          </w:p>
        </w:tc>
      </w:tr>
    </w:tbl>
    <w:p>
      <w:pPr>
        <w:ind w:right="76"/>
        <w:jc w:val="both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left="5387"/>
        <w:pageBreakBefore/>
        <w:rPr>
          <w:bCs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1 к </w:t>
      </w:r>
      <w:r>
        <w:rPr>
          <w:sz w:val="24"/>
          <w:szCs w:val="24"/>
          <w:highlight w:val="none"/>
        </w:rPr>
        <w:t xml:space="preserve">Техническому заданию (обязательное)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pStyle w:val="973"/>
        <w:ind w:firstLine="851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ФОРМА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973"/>
        <w:ind w:firstLine="851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4"/>
          <w:szCs w:val="24"/>
          <w:highlight w:val="none"/>
        </w:rPr>
        <w:pBdr>
          <w:bottom w:val="single" w:color="000000" w:sz="12" w:space="1"/>
        </w:pBdr>
        <w:outlineLvl w:val="1"/>
      </w:pPr>
      <w:r>
        <w:rPr>
          <w:sz w:val="24"/>
          <w:szCs w:val="24"/>
          <w:highlight w:val="none"/>
        </w:rPr>
        <w:t xml:space="preserve">Обоснование начальной (максимальной) цены договора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b w:val="0"/>
          <w:bCs w:val="0"/>
          <w:color w:val="000000" w:themeColor="text1"/>
          <w:sz w:val="24"/>
          <w:szCs w:val="24"/>
          <w:highlight w:val="none"/>
        </w:rPr>
        <w:pBdr>
          <w:bottom w:val="single" w:color="000000" w:sz="12" w:space="1"/>
        </w:pBdr>
        <w:outlineLvl w:val="1"/>
      </w:pP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</w:rPr>
        <w:t xml:space="preserve">Н</w:t>
      </w:r>
      <w:r>
        <w:rPr>
          <w:b w:val="0"/>
          <w:bCs w:val="0"/>
          <w:color w:val="000000" w:themeColor="text1"/>
          <w:sz w:val="24"/>
          <w:szCs w:val="24"/>
        </w:rPr>
        <w:t xml:space="preserve">а право заключения договора</w:t>
      </w:r>
      <w:r>
        <w:rPr>
          <w:b w:val="0"/>
          <w:bCs w:val="0"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ехническое обслуживание кондиционеров для нужд ПО «МЭС» филиала «Челябэнерго» в 2026 г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highlight w:val="none"/>
        </w:rPr>
        <w:t xml:space="preserve"> </w:t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  <w:r>
        <w:rPr>
          <w:b w:val="0"/>
          <w:bCs w:val="0"/>
          <w:color w:val="000000" w:themeColor="text1"/>
          <w:sz w:val="24"/>
          <w:szCs w:val="24"/>
          <w:highlight w:val="none"/>
        </w:rPr>
      </w:r>
    </w:p>
    <w:p>
      <w:pPr>
        <w:ind w:firstLine="851"/>
        <w:jc w:val="center"/>
        <w:spacing w:after="274" w:line="343" w:lineRule="atLeast"/>
        <w:shd w:val="clear" w:color="auto" w:fill="ffffff"/>
        <w:rPr>
          <w:sz w:val="24"/>
          <w:szCs w:val="24"/>
          <w:highlight w:val="none"/>
        </w:rPr>
        <w:outlineLvl w:val="1"/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(указывается предмет закупки)</w:t>
      </w:r>
      <w:bookmarkStart w:id="7" w:name="l152"/>
      <w:r>
        <w:rPr>
          <w:sz w:val="24"/>
          <w:szCs w:val="24"/>
          <w:highlight w:val="none"/>
        </w:rPr>
      </w:r>
      <w:bookmarkEnd w:id="7"/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881"/>
        <w:gridCol w:w="4882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bookmarkStart w:id="8" w:name="l55"/>
            <w:r>
              <w:rPr>
                <w:sz w:val="24"/>
                <w:szCs w:val="24"/>
                <w:highlight w:val="white"/>
              </w:rPr>
            </w:r>
            <w:bookmarkEnd w:id="8"/>
            <w:r>
              <w:rPr>
                <w:sz w:val="24"/>
                <w:szCs w:val="24"/>
                <w:highlight w:val="white"/>
              </w:rPr>
              <w:t xml:space="preserve">Начальная (максимальная) цена договора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248 450,00 рублей</w:t>
            </w:r>
            <w:r>
              <w:rPr>
                <w:sz w:val="24"/>
                <w:szCs w:val="24"/>
              </w:rPr>
              <w:t xml:space="preserve">, кроме того НДС составляет 54 659,00</w:t>
            </w:r>
            <w:r>
              <w:rPr>
                <w:sz w:val="24"/>
                <w:szCs w:val="24"/>
              </w:rPr>
              <w:t xml:space="preserve"> рублей. В</w:t>
            </w:r>
            <w:r>
              <w:rPr>
                <w:sz w:val="24"/>
                <w:szCs w:val="24"/>
              </w:rPr>
              <w:t xml:space="preserve">сего с НДС цена составляет 303 109,00</w:t>
            </w:r>
            <w:r>
              <w:rPr>
                <w:sz w:val="24"/>
                <w:szCs w:val="24"/>
              </w:rPr>
              <w:t xml:space="preserve">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9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 сопоставимых рыночных цен (анализа рынка)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pacing w:after="30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Единый стандарт закупок ПАО «</w:t>
            </w:r>
            <w:r>
              <w:rPr>
                <w:sz w:val="24"/>
                <w:szCs w:val="24"/>
              </w:rPr>
              <w:t xml:space="preserve">Россети</w:t>
            </w:r>
            <w:r>
              <w:rPr>
                <w:sz w:val="24"/>
                <w:szCs w:val="24"/>
              </w:rPr>
              <w:t xml:space="preserve">»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Расчет начальной (максимальной) цены договора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  НМЦ лота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ind w:firstLine="851"/>
        <w:shd w:val="clear" w:color="auto" w:fill="ffffff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49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  <w:t xml:space="preserve">Расчет начальной (максимальной) цены договора</w:t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</w:p>
    <w:p>
      <w:pPr>
        <w:rPr>
          <w:sz w:val="24"/>
          <w:szCs w:val="24"/>
          <w:highlight w:val="none"/>
        </w:rPr>
      </w:pPr>
      <w:r>
        <w:rPr>
          <w:rStyle w:val="956"/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W w:w="5064" w:type="pct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987"/>
        <w:gridCol w:w="1275"/>
        <w:gridCol w:w="1532"/>
        <w:gridCol w:w="1275"/>
        <w:gridCol w:w="1275"/>
        <w:gridCol w:w="1279"/>
        <w:gridCol w:w="1279"/>
      </w:tblGrid>
      <w:tr>
        <w:tblPrEx/>
        <w:trPr>
          <w:trHeight w:val="315"/>
        </w:trPr>
        <w:tc>
          <w:tcPr>
            <w:tcW w:w="1015" w:type="pct"/>
            <w:vAlign w:val="center"/>
            <w:vMerge w:val="restart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W w:w="280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Предложение № 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W w:w="1302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Предложение № 2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W w:w="1306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Предложение № 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tcW w:w="1015" w:type="pct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W w:w="651" w:type="pct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Цена, руб. без НДС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1532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Цена, руб.  с </w:t>
            </w:r>
            <w:r>
              <w:rPr>
                <w:color w:val="000000"/>
                <w:sz w:val="24"/>
                <w:szCs w:val="24"/>
              </w:rPr>
              <w:t xml:space="preserve">НДС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651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Цена, руб. без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651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Цена, руб.  с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653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Цена, руб. без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653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Цена, руб.  с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184"/>
        </w:trPr>
        <w:tc>
          <w:tcPr>
            <w:shd w:val="clear" w:color="ffffff" w:fill="ffffff"/>
            <w:tcW w:w="1015" w:type="pc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Техническое обслуживание кондиционеров для нужд ПО «МЭС» филиала «Челябэнерго» в 2026 г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651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249 500,00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1532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304 390,00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651" w:type="pct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248 450,00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651" w:type="pct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303 109,00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653" w:type="pct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250 000,00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653" w:type="pct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305 000,00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</w:tbl>
    <w:p>
      <w:pPr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right"/>
        <w:pageBreakBefore/>
        <w:tabs>
          <w:tab w:val="left" w:pos="993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bookmarkStart w:id="0" w:name="undefined"/>
      <w:r>
        <w:rPr>
          <w:sz w:val="24"/>
          <w:szCs w:val="24"/>
          <w:highlight w:val="none"/>
        </w:rPr>
      </w:r>
      <w:bookmarkStart w:id="0" w:name="undefined"/>
      <w:r>
        <w:rPr>
          <w:sz w:val="24"/>
          <w:szCs w:val="24"/>
          <w:highlight w:val="none"/>
        </w:rPr>
      </w:r>
      <w:bookmarkStart w:id="0" w:name="undefined"/>
      <w:r>
        <w:rPr>
          <w:sz w:val="24"/>
          <w:szCs w:val="24"/>
          <w:highlight w:val="none"/>
        </w:rPr>
        <w:t xml:space="preserve">Приложение №3 к Техническому заданию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33"/>
        <w:jc w:val="center"/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bookmarkEnd w:id="0"/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pStyle w:val="933"/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ФОРМА. ТЕХНИЧЕСКОЕ ПРЕДЛОЖЕНИЕ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pStyle w:val="933"/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righ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Приложение к письму о подаче оферты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jc w:val="right"/>
        <w:spacing w:after="0"/>
        <w:rPr>
          <w:b/>
          <w:bCs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от «</w:t>
      </w:r>
      <w:r>
        <w:rPr>
          <w:sz w:val="24"/>
          <w:szCs w:val="24"/>
          <w:highlight w:val="none"/>
        </w:rPr>
        <w:t xml:space="preserve">__</w:t>
      </w:r>
      <w:r>
        <w:rPr>
          <w:sz w:val="24"/>
          <w:szCs w:val="24"/>
          <w:highlight w:val="none"/>
        </w:rPr>
        <w:t xml:space="preserve">» </w:t>
      </w:r>
      <w:r>
        <w:rPr>
          <w:sz w:val="24"/>
          <w:szCs w:val="24"/>
          <w:highlight w:val="none"/>
        </w:rPr>
        <w:t xml:space="preserve">_____</w:t>
      </w:r>
      <w:r>
        <w:rPr>
          <w:sz w:val="24"/>
          <w:szCs w:val="24"/>
          <w:highlight w:val="none"/>
        </w:rPr>
        <w:t xml:space="preserve"> 202_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г</w:t>
      </w:r>
      <w:r>
        <w:rPr>
          <w:sz w:val="24"/>
          <w:szCs w:val="24"/>
          <w:highlight w:val="none"/>
        </w:rPr>
        <w:t xml:space="preserve">ода</w:t>
      </w:r>
      <w:r>
        <w:rPr>
          <w:sz w:val="24"/>
          <w:szCs w:val="24"/>
          <w:highlight w:val="none"/>
        </w:rPr>
        <w:t xml:space="preserve"> № </w:t>
      </w:r>
      <w:r>
        <w:rPr>
          <w:sz w:val="24"/>
          <w:szCs w:val="24"/>
          <w:highlight w:val="none"/>
        </w:rPr>
        <w:t xml:space="preserve">_____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right"/>
        <w:spacing w:after="0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spacing w:after="0"/>
        <w:rPr>
          <w:b/>
          <w:bCs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bookmarkStart w:id="0" w:name="undefined"/>
      <w:r>
        <w:rPr>
          <w:sz w:val="24"/>
          <w:szCs w:val="24"/>
          <w:highlight w:val="none"/>
        </w:rPr>
      </w:r>
      <w:bookmarkStart w:id="0" w:name="undefined"/>
      <w:r>
        <w:rPr>
          <w:sz w:val="24"/>
          <w:szCs w:val="24"/>
          <w:highlight w:val="none"/>
        </w:rPr>
      </w:r>
      <w:bookmarkStart w:id="0" w:name="undefined"/>
      <w:r>
        <w:rPr>
          <w:sz w:val="24"/>
          <w:szCs w:val="24"/>
          <w:highlight w:val="none"/>
        </w:rPr>
      </w:r>
      <w:bookmarkStart w:id="0" w:name="undefined"/>
      <w:r>
        <w:rPr>
          <w:b/>
          <w:sz w:val="24"/>
          <w:szCs w:val="24"/>
          <w:highlight w:val="none"/>
        </w:rPr>
        <w:t xml:space="preserve">Техническое предложение</w:t>
      </w:r>
      <w:bookmarkEnd w:id="0"/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left="0" w:right="0" w:firstLine="0"/>
        <w:tabs>
          <w:tab w:val="left" w:pos="1080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Способ и наименование закупки</w:t>
      </w:r>
      <w:r>
        <w:rPr>
          <w:b w:val="0"/>
          <w:bCs w:val="0"/>
          <w:sz w:val="24"/>
          <w:szCs w:val="24"/>
          <w:highlight w:val="none"/>
        </w:rPr>
        <w:t xml:space="preserve"> ________________________________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0"/>
        <w:spacing w:after="0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  <w:lang w:eastAsia="ar-SA"/>
        </w:rPr>
        <w:t xml:space="preserve">Участник закупки: ________________________________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Cs/>
          <w:i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  <w:r>
        <w:rPr>
          <w:bCs/>
          <w:i/>
          <w:sz w:val="24"/>
          <w:szCs w:val="24"/>
          <w:highlight w:val="none"/>
        </w:rPr>
      </w:r>
    </w:p>
    <w:p>
      <w:pPr>
        <w:ind w:firstLine="540"/>
        <w:jc w:val="both"/>
        <w:spacing w:after="0"/>
        <w:widowControl w:val="off"/>
        <w:tabs>
          <w:tab w:val="left" w:pos="1080" w:leader="none"/>
        </w:tabs>
        <w:rPr>
          <w:b w:val="0"/>
          <w:bCs w:val="0"/>
          <w:i w:val="0"/>
          <w:sz w:val="24"/>
          <w:szCs w:val="24"/>
          <w:highlight w:val="none"/>
        </w:rPr>
      </w:pPr>
      <w:r>
        <w:rPr>
          <w:b w:val="0"/>
          <w:bCs w:val="0"/>
          <w:i w:val="0"/>
          <w:iCs w:val="0"/>
          <w:sz w:val="24"/>
          <w:szCs w:val="24"/>
          <w:highlight w:val="none"/>
        </w:rPr>
      </w:r>
      <w:r>
        <w:rPr>
          <w:b w:val="0"/>
          <w:bCs w:val="0"/>
          <w:i w:val="0"/>
          <w:iCs w:val="0"/>
          <w:sz w:val="24"/>
          <w:szCs w:val="24"/>
          <w:highlight w:val="none"/>
        </w:rPr>
        <w:t xml:space="preserve"> Согласны </w:t>
      </w:r>
      <w:r>
        <w:rPr>
          <w:b w:val="0"/>
          <w:bCs w:val="0"/>
          <w:i w:val="0"/>
          <w:iCs w:val="0"/>
          <w:sz w:val="24"/>
          <w:szCs w:val="24"/>
          <w:highlight w:val="none"/>
        </w:rPr>
        <w:t xml:space="preserve">с </w:t>
      </w:r>
      <w:r>
        <w:rPr>
          <w:b w:val="0"/>
          <w:bCs w:val="0"/>
          <w:i w:val="0"/>
          <w:iCs w:val="0"/>
          <w:sz w:val="24"/>
          <w:szCs w:val="24"/>
          <w:highlight w:val="none"/>
        </w:rPr>
        <w:t xml:space="preserve">требованиями </w:t>
      </w:r>
      <w:r>
        <w:rPr>
          <w:sz w:val="24"/>
          <w:szCs w:val="24"/>
          <w:highlight w:val="none"/>
          <w:lang w:eastAsia="ja-JP"/>
        </w:rPr>
        <w:t xml:space="preserve">Технического задания (</w:t>
      </w:r>
      <w:r>
        <w:rPr>
          <w:sz w:val="24"/>
          <w:szCs w:val="24"/>
          <w:highlight w:val="none"/>
        </w:rPr>
        <w:t xml:space="preserve">«Техническая часть» Документации)</w:t>
      </w:r>
      <w:r>
        <w:rPr>
          <w:b w:val="0"/>
          <w:bCs w:val="0"/>
          <w:i w:val="0"/>
          <w:iCs w:val="0"/>
          <w:sz w:val="24"/>
          <w:szCs w:val="24"/>
          <w:highlight w:val="none"/>
        </w:rPr>
        <w:t xml:space="preserve">, Проекта договора</w:t>
      </w:r>
      <w:r>
        <w:rPr>
          <w:b w:val="0"/>
          <w:bCs w:val="0"/>
          <w:i w:val="0"/>
          <w:iCs w:val="0"/>
          <w:sz w:val="24"/>
          <w:szCs w:val="24"/>
          <w:highlight w:val="none"/>
        </w:rPr>
        <w:t xml:space="preserve">.</w:t>
      </w:r>
      <w:r>
        <w:rPr>
          <w:b w:val="0"/>
          <w:bCs w:val="0"/>
          <w:i w:val="0"/>
          <w:sz w:val="24"/>
          <w:szCs w:val="24"/>
          <w:highlight w:val="none"/>
        </w:rPr>
      </w:r>
      <w:r>
        <w:rPr>
          <w:b w:val="0"/>
          <w:bCs w:val="0"/>
          <w:i w:val="0"/>
          <w:sz w:val="24"/>
          <w:szCs w:val="24"/>
          <w:highlight w:val="none"/>
        </w:rPr>
      </w:r>
    </w:p>
    <w:p>
      <w:pPr>
        <w:ind w:firstLine="540"/>
        <w:jc w:val="both"/>
        <w:spacing w:after="0"/>
        <w:widowControl w:val="off"/>
        <w:tabs>
          <w:tab w:val="left" w:pos="1080" w:leader="none"/>
        </w:tabs>
        <w:rPr>
          <w:b/>
          <w:bCs/>
          <w:i/>
          <w:sz w:val="24"/>
          <w:szCs w:val="24"/>
          <w:highlight w:val="none"/>
        </w:rPr>
      </w:pPr>
      <w:r>
        <w:rPr>
          <w:b/>
          <w:bCs/>
          <w:i/>
          <w:sz w:val="24"/>
          <w:szCs w:val="24"/>
          <w:highlight w:val="none"/>
        </w:rPr>
      </w:r>
      <w:r>
        <w:rPr>
          <w:b/>
          <w:bCs/>
          <w:i/>
          <w:sz w:val="24"/>
          <w:szCs w:val="24"/>
          <w:highlight w:val="none"/>
        </w:rPr>
      </w:r>
      <w:r>
        <w:rPr>
          <w:b/>
          <w:bCs/>
          <w:i/>
          <w:sz w:val="24"/>
          <w:szCs w:val="24"/>
          <w:highlight w:val="none"/>
        </w:rPr>
      </w:r>
    </w:p>
    <w:p>
      <w:pPr>
        <w:ind w:firstLine="540"/>
        <w:jc w:val="both"/>
        <w:spacing w:after="0"/>
        <w:widowControl w:val="off"/>
        <w:tabs>
          <w:tab w:val="left" w:pos="1080" w:leader="none"/>
        </w:tabs>
        <w:rPr>
          <w:b/>
          <w:bCs/>
          <w:i/>
          <w:highlight w:val="none"/>
        </w:rPr>
      </w:pPr>
      <w:r>
        <w:rPr>
          <w:b w:val="0"/>
          <w:bCs w:val="0"/>
          <w:i w:val="0"/>
          <w:iCs w:val="0"/>
          <w:highlight w:val="none"/>
        </w:rPr>
      </w:r>
      <w:r>
        <w:rPr>
          <w:b/>
          <w:bCs/>
          <w:i/>
          <w:highlight w:val="none"/>
        </w:rPr>
      </w:r>
      <w:r>
        <w:rPr>
          <w:b/>
          <w:bCs/>
          <w:i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/>
          <w:bCs/>
          <w:i/>
          <w:iCs/>
          <w:sz w:val="20"/>
          <w:szCs w:val="20"/>
          <w:highlight w:val="none"/>
        </w:rPr>
      </w:pPr>
      <w:r>
        <w:rPr>
          <w:b/>
          <w:i/>
          <w:iCs/>
          <w:sz w:val="20"/>
          <w:szCs w:val="20"/>
          <w:highlight w:val="none"/>
        </w:rPr>
        <w:t xml:space="preserve">Инструкции по заполнению:</w:t>
      </w:r>
      <w:r>
        <w:rPr>
          <w:b/>
          <w:bCs/>
          <w:i/>
          <w:iCs/>
          <w:sz w:val="20"/>
          <w:szCs w:val="20"/>
          <w:highlight w:val="none"/>
        </w:rPr>
      </w:r>
      <w:r>
        <w:rPr>
          <w:b/>
          <w:bCs/>
          <w:i/>
          <w:iCs/>
          <w:sz w:val="20"/>
          <w:szCs w:val="20"/>
          <w:highlight w:val="none"/>
        </w:rPr>
      </w:r>
    </w:p>
    <w:p>
      <w:pPr>
        <w:numPr>
          <w:ilvl w:val="0"/>
          <w:numId w:val="42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Данные ин</w:t>
      </w:r>
      <w:r>
        <w:rPr>
          <w:i/>
          <w:iCs/>
          <w:sz w:val="20"/>
          <w:szCs w:val="20"/>
          <w:highlight w:val="none"/>
        </w:rPr>
        <w:t xml:space="preserve">струкции не следует воспроизводить в документах, подготовленных Участником.</w:t>
      </w: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</w:r>
    </w:p>
    <w:p>
      <w:pPr>
        <w:numPr>
          <w:ilvl w:val="0"/>
          <w:numId w:val="42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Выше приведена форма «Технического предложения участника». 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42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  <w:t xml:space="preserve">Участни</w:t>
      </w:r>
      <w:r>
        <w:rPr>
          <w:i/>
          <w:iCs/>
          <w:sz w:val="20"/>
          <w:szCs w:val="20"/>
          <w:highlight w:val="none"/>
        </w:rPr>
        <w:t xml:space="preserve">к закупки приводит номер и дату письма о подаче оферты, приложением к которому является данная форма</w:t>
      </w:r>
      <w:r>
        <w:rPr>
          <w:i/>
          <w:iCs/>
          <w:sz w:val="20"/>
          <w:szCs w:val="20"/>
          <w:highlight w:val="none"/>
        </w:rPr>
        <w:t xml:space="preserve">, </w:t>
      </w:r>
      <w:r>
        <w:rPr>
          <w:i/>
          <w:iCs/>
          <w:sz w:val="20"/>
          <w:szCs w:val="20"/>
          <w:highlight w:val="none"/>
        </w:rPr>
        <w:t xml:space="preserve">а так же указывает способ и наименование закупки.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42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Участник закупки, являющийся юридическим лицо</w:t>
      </w:r>
      <w:r>
        <w:rPr>
          <w:i/>
          <w:iCs/>
          <w:sz w:val="20"/>
          <w:szCs w:val="20"/>
          <w:highlight w:val="none"/>
        </w:rPr>
        <w:t xml:space="preserve">м, должен указать свое полное наименование (с указанием организационно-правовой формы) и адрес места нахождения. Участник закупки, являющийся индивидуальным предпринимателем, указывает полностью фамилию, имя, отчество, паспортные данные, адрес регистрации.</w:t>
      </w: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</w:r>
    </w:p>
    <w:p>
      <w:pPr>
        <w:numPr>
          <w:ilvl w:val="0"/>
          <w:numId w:val="42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 w:val="0"/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Участник подтверждает свое согласие 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с 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требованиями </w:t>
      </w:r>
      <w:r>
        <w:rPr>
          <w:i/>
          <w:iCs/>
          <w:sz w:val="20"/>
          <w:szCs w:val="20"/>
          <w:highlight w:val="none"/>
          <w:lang w:eastAsia="ja-JP"/>
        </w:rPr>
        <w:t xml:space="preserve">Технического задания (</w:t>
      </w:r>
      <w:r>
        <w:rPr>
          <w:i/>
          <w:iCs/>
          <w:sz w:val="20"/>
          <w:szCs w:val="20"/>
          <w:highlight w:val="none"/>
        </w:rPr>
        <w:t xml:space="preserve">«Техническая часть» Документации)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, Проекта договора</w:t>
      </w:r>
      <w:r>
        <w:rPr>
          <w:b w:val="0"/>
          <w:bCs w:val="0"/>
          <w:i/>
          <w:iCs/>
          <w:sz w:val="20"/>
          <w:szCs w:val="20"/>
          <w:highlight w:val="none"/>
        </w:rPr>
        <w:t xml:space="preserve"> по установленной форме.</w:t>
      </w:r>
      <w:r>
        <w:rPr>
          <w:b w:val="0"/>
          <w:bCs/>
          <w:i/>
          <w:sz w:val="20"/>
          <w:szCs w:val="20"/>
          <w:highlight w:val="none"/>
        </w:rPr>
      </w:r>
      <w:r>
        <w:rPr>
          <w:b w:val="0"/>
          <w:bCs/>
          <w:i/>
          <w:sz w:val="20"/>
          <w:szCs w:val="20"/>
          <w:highlight w:val="none"/>
        </w:rPr>
      </w:r>
    </w:p>
    <w:p>
      <w:pPr>
        <w:pStyle w:val="934"/>
        <w:numPr>
          <w:ilvl w:val="0"/>
          <w:numId w:val="42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В </w:t>
      </w:r>
      <w:r>
        <w:rPr>
          <w:i/>
          <w:iCs/>
          <w:sz w:val="20"/>
          <w:szCs w:val="20"/>
          <w:highlight w:val="none"/>
        </w:rPr>
        <w:t xml:space="preserve">случае несогласия с Проектом договора указать пункты договора. </w:t>
      </w:r>
      <w:r>
        <w:rPr>
          <w:i/>
          <w:iCs/>
          <w:sz w:val="20"/>
          <w:szCs w:val="20"/>
          <w:highlight w:val="none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</w:t>
      </w:r>
      <w:r>
        <w:rPr>
          <w:i/>
          <w:iCs/>
          <w:sz w:val="20"/>
          <w:szCs w:val="20"/>
          <w:highlight w:val="none"/>
        </w:rPr>
        <w:t xml:space="preserve">изменениях, стороны будут обязаны подписать договор на условиях, изложенных в настоящей документации и заявке Победителя закупки/лица, давшего наилучшую заявку.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42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  <w:t xml:space="preserve">В случае несогласия Участника с требованиями </w:t>
      </w:r>
      <w:r>
        <w:rPr>
          <w:i/>
          <w:iCs/>
          <w:sz w:val="20"/>
          <w:szCs w:val="20"/>
          <w:highlight w:val="none"/>
          <w:lang w:eastAsia="ja-JP"/>
        </w:rPr>
        <w:t xml:space="preserve">Технического задания (</w:t>
      </w:r>
      <w:r>
        <w:rPr>
          <w:i/>
          <w:iCs/>
          <w:sz w:val="20"/>
          <w:szCs w:val="20"/>
          <w:highlight w:val="none"/>
        </w:rPr>
        <w:t xml:space="preserve">«Техническая часть» Документации) заявка Участника отклоняется.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numPr>
          <w:ilvl w:val="0"/>
          <w:numId w:val="42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  <w:t xml:space="preserve">Предоставление Участником технического предложения в форме, отличающейся от указанной</w:t>
      </w:r>
      <w:r>
        <w:rPr>
          <w:i/>
          <w:iCs/>
          <w:sz w:val="20"/>
          <w:szCs w:val="20"/>
          <w:highlight w:val="none"/>
        </w:rPr>
        <w:t xml:space="preserve">, не допускается и является основанием для отклонения заявки Участника.</w:t>
      </w:r>
      <w:r>
        <w:rPr>
          <w:bCs/>
          <w:i/>
          <w:sz w:val="20"/>
          <w:szCs w:val="20"/>
          <w:highlight w:val="none"/>
        </w:rPr>
      </w:r>
      <w:r>
        <w:rPr>
          <w:bCs/>
          <w:i/>
          <w:sz w:val="20"/>
          <w:szCs w:val="20"/>
          <w:highlight w:val="none"/>
        </w:rPr>
      </w:r>
    </w:p>
    <w:p>
      <w:pPr>
        <w:pStyle w:val="921"/>
        <w:ind w:left="567"/>
        <w:jc w:val="right"/>
        <w:pageBreakBefore/>
        <w:spacing w:line="240" w:lineRule="atLeast"/>
        <w:tabs>
          <w:tab w:val="left" w:pos="993" w:leader="none"/>
        </w:tabs>
        <w:rPr>
          <w:b w:val="0"/>
          <w:i w:val="0"/>
          <w:sz w:val="24"/>
          <w:szCs w:val="24"/>
          <w:highlight w:val="none"/>
        </w:rPr>
      </w:pPr>
      <w:r>
        <w:rPr>
          <w:rStyle w:val="956"/>
          <w:rFonts w:eastAsia="Times New Roman"/>
          <w:b w:val="0"/>
          <w:bCs w:val="0"/>
          <w:i w:val="0"/>
          <w:iCs w:val="0"/>
          <w:sz w:val="24"/>
          <w:szCs w:val="24"/>
          <w:highlight w:val="none"/>
        </w:rPr>
      </w:r>
      <w:r>
        <w:rPr>
          <w:b w:val="0"/>
          <w:i w:val="0"/>
          <w:sz w:val="24"/>
          <w:szCs w:val="24"/>
          <w:highlight w:val="none"/>
        </w:rPr>
        <w:t xml:space="preserve">Приложение №</w:t>
      </w:r>
      <w:r>
        <w:rPr>
          <w:b w:val="0"/>
          <w:i w:val="0"/>
          <w:sz w:val="24"/>
          <w:szCs w:val="24"/>
          <w:highlight w:val="none"/>
        </w:rPr>
        <w:t xml:space="preserve">4</w:t>
      </w:r>
      <w:r>
        <w:rPr>
          <w:b w:val="0"/>
          <w:i w:val="0"/>
          <w:sz w:val="24"/>
          <w:szCs w:val="24"/>
          <w:highlight w:val="none"/>
        </w:rPr>
      </w:r>
      <w:r>
        <w:rPr>
          <w:b w:val="0"/>
          <w:i w:val="0"/>
          <w:sz w:val="24"/>
          <w:szCs w:val="24"/>
          <w:highlight w:val="none"/>
        </w:rPr>
      </w:r>
    </w:p>
    <w:p>
      <w:pPr>
        <w:pStyle w:val="946"/>
        <w:jc w:val="right"/>
        <w:spacing w:line="240" w:lineRule="atLeast"/>
        <w:rPr>
          <w:rFonts w:ascii="Times New Roman" w:hAnsi="Times New Roman" w:cs="Times New Roman"/>
          <w:b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sz w:val="24"/>
          <w:szCs w:val="24"/>
          <w:highlight w:val="none"/>
        </w:rPr>
        <w:t xml:space="preserve">к Техническому заданию</w:t>
      </w:r>
      <w:r>
        <w:rPr>
          <w:rFonts w:ascii="Times New Roman" w:hAnsi="Times New Roman" w:cs="Times New Roman"/>
          <w:b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sz w:val="24"/>
          <w:szCs w:val="24"/>
          <w:highlight w:val="none"/>
        </w:rPr>
      </w:r>
    </w:p>
    <w:p>
      <w:pPr>
        <w:pStyle w:val="949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</w:p>
    <w:p>
      <w:pPr>
        <w:pStyle w:val="949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  <w:highlight w:val="none"/>
        </w:rPr>
      </w:r>
    </w:p>
    <w:p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Расчет стоимости технического обслуживания кондиционеров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widowControl/>
        <w:rPr>
          <w:sz w:val="24"/>
          <w:szCs w:val="24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49" w:type="dxa"/>
        <w:tblLayout w:type="fixed"/>
        <w:tblLook w:val="04A0" w:firstRow="1" w:lastRow="0" w:firstColumn="1" w:lastColumn="0" w:noHBand="0" w:noVBand="1"/>
      </w:tblPr>
      <w:tblGrid>
        <w:gridCol w:w="704"/>
        <w:gridCol w:w="2422"/>
        <w:gridCol w:w="1462"/>
        <w:gridCol w:w="1276"/>
        <w:gridCol w:w="1350"/>
        <w:gridCol w:w="1417"/>
        <w:gridCol w:w="1417"/>
      </w:tblGrid>
      <w:tr>
        <w:tblPrEx/>
        <w:trPr>
          <w:trHeight w:val="85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№ п/п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422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Наименование услуг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6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Кол-во,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шт.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Цена за (1шт./ед ), руб. без НДС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Цена за (1шт./ед ), руб. с НДС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Стоимость              руб. без НДС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Стоимость              руб. с НДС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Align w:val="center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42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6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vAlign w:val="center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Align w:val="center"/>
            <w:textDirection w:val="lrTb"/>
            <w:noWrap/>
          </w:tcPr>
          <w:p>
            <w:pPr>
              <w:contextualSpacing/>
              <w:ind w:left="2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22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ТО кондиционера сплит-системы , мощность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от 0,8 кВт до 2 кВт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59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3 050,00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vAlign w:val="center"/>
            <w:textDirection w:val="lrTb"/>
            <w:noWrap/>
          </w:tcPr>
          <w:p>
            <w:r>
              <w:t xml:space="preserve">  3 721,00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179 950,00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219 539,00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Align w:val="center"/>
            <w:textDirection w:val="lrTb"/>
            <w:noWrap/>
          </w:tcPr>
          <w:p>
            <w:pPr>
              <w:contextualSpacing/>
              <w:ind w:left="2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2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ТО кондиционера сплит-системы, мощность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от 2,0 кВт до 7,0 кВт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pacing w:before="0" w:after="0" w:line="57" w:lineRule="atLeas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2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3 650,00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vAlign w:val="center"/>
            <w:textDirection w:val="lrTb"/>
            <w:noWrap/>
          </w:tcPr>
          <w:p>
            <w:r>
              <w:t xml:space="preserve">  4 453,00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36 500,00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44 530,00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85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№ п/п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422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Наименование услуг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6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Кол-во,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шт.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Align w:val="center"/>
            <w:vMerge w:val="restart"/>
            <w:textDirection w:val="lrTb"/>
            <w:noWrap/>
          </w:tcPr>
          <w:p>
            <w:pPr>
              <w:contextualSpacing/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422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Аренда автовышки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restart"/>
            <w:textDirection w:val="lrTb"/>
            <w:noWrap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Align w:val="center"/>
            <w:textDirection w:val="lrTb"/>
            <w:noWrap/>
          </w:tcPr>
          <w:p>
            <w:pPr>
              <w:contextualSpacing/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422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Аренда автовышки (кол-во, час)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6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3 278,69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50" w:type="dxa"/>
            <w:vAlign w:val="center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32 000,00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39 040,00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Align w:val="bottom"/>
            <w:textDirection w:val="lrTb"/>
            <w:noWrap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4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511" w:type="dxa"/>
            <w:vAlign w:val="center"/>
            <w:textDirection w:val="lrTb"/>
            <w:noWrap/>
          </w:tcPr>
          <w:p>
            <w:pPr>
              <w:jc w:val="right"/>
              <w:rPr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Стоимость закупки по оценке Заказчика: 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248 450,00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303 109,00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Align w:val="bottom"/>
            <w:vMerge w:val="restart"/>
            <w:textDirection w:val="lrTb"/>
            <w:noWrap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4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6511" w:type="dxa"/>
            <w:vAlign w:val="center"/>
            <w:vMerge w:val="restart"/>
            <w:textDirection w:val="lrTb"/>
            <w:noWrap/>
          </w:tcPr>
          <w:p>
            <w:pPr>
              <w:jc w:val="right"/>
              <w:rPr>
                <w:bCs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Стоимость закупки по оценке Участника: </w:t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bCs/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*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widowControl/>
        <w:rPr>
          <w:sz w:val="24"/>
          <w:szCs w:val="24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/>
        <w:rPr>
          <w:sz w:val="24"/>
          <w:szCs w:val="24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3"/>
        <w:jc w:val="both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  <w:highlight w:val="none"/>
        </w:rPr>
        <w:t xml:space="preserve">Руководитель организации      </w:t>
      </w:r>
      <w:r>
        <w:rPr>
          <w:color w:val="000000" w:themeColor="text1"/>
          <w:sz w:val="24"/>
          <w:szCs w:val="24"/>
          <w:highlight w:val="none"/>
        </w:rPr>
        <w:t xml:space="preserve">                   </w:t>
      </w:r>
      <w:r>
        <w:rPr>
          <w:color w:val="000000" w:themeColor="text1"/>
          <w:sz w:val="24"/>
          <w:szCs w:val="24"/>
          <w:highlight w:val="none"/>
        </w:rPr>
        <w:t xml:space="preserve">подпись                                       ФИО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tabs>
          <w:tab w:val="left" w:pos="709" w:leader="none"/>
        </w:tabs>
        <w:rPr>
          <w:rFonts w:eastAsia="MS Mincho"/>
          <w:sz w:val="28"/>
          <w:szCs w:val="28"/>
          <w:lang w:eastAsia="ja-JP"/>
        </w:rPr>
      </w:pPr>
      <w:r>
        <w:rPr>
          <w:rFonts w:eastAsia="MS Mincho"/>
          <w:sz w:val="28"/>
          <w:szCs w:val="28"/>
          <w:lang w:eastAsia="ja-JP"/>
        </w:rPr>
      </w:r>
      <w:r>
        <w:rPr>
          <w:rFonts w:eastAsia="MS Mincho"/>
          <w:sz w:val="28"/>
          <w:szCs w:val="28"/>
          <w:lang w:eastAsia="ja-JP"/>
        </w:rPr>
      </w:r>
      <w:r>
        <w:rPr>
          <w:rFonts w:eastAsia="MS Mincho"/>
          <w:sz w:val="28"/>
          <w:szCs w:val="28"/>
          <w:lang w:eastAsia="ja-JP"/>
        </w:rPr>
      </w:r>
    </w:p>
    <w:p>
      <w:pPr>
        <w:ind w:left="1134" w:right="317" w:hanging="1134"/>
        <w:keepNext/>
        <w:spacing w:line="256" w:lineRule="auto"/>
        <w:tabs>
          <w:tab w:val="left" w:pos="993" w:leader="none"/>
          <w:tab w:val="left" w:pos="1134" w:leader="none"/>
        </w:tabs>
        <w:rPr>
          <w:b/>
          <w:sz w:val="24"/>
          <w:szCs w:val="24"/>
          <w:lang w:eastAsia="en-US"/>
        </w:rPr>
        <w:outlineLvl w:val="0"/>
        <w:suppressLineNumbers/>
      </w:pPr>
      <w:r>
        <w:rPr>
          <w:b/>
          <w:sz w:val="24"/>
          <w:szCs w:val="24"/>
          <w:lang w:eastAsia="en-US"/>
        </w:rPr>
        <w:t xml:space="preserve">                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jc w:val="right"/>
        <w:widowControl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933"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sectPr>
      <w:footerReference w:type="default" r:id="rId9"/>
      <w:footnotePr/>
      <w:endnotePr/>
      <w:type w:val="nextPage"/>
      <w:pgSz w:w="11906" w:h="16838" w:orient="portrait"/>
      <w:pgMar w:top="567" w:right="709" w:bottom="567" w:left="1418" w:header="709" w:footer="709" w:gutter="0"/>
      <w:cols w:num="1" w:sep="0" w:space="708" w:equalWidth="1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Черепанова Олеся Александровна" w:date="2025-06-04T15:21:00Z" w:initials="ЧОА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либо НДС не облагается</w:t>
      </w:r>
    </w:p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в случае закупки продукции, которая не облагается НДС указать статью Налогового кодекса РФ, на основании которой закупка производится без НДС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либо Смешанный</w:t>
      </w:r>
    </w:p>
    <w:p w14:paraId="00000005" w14:textId="0000000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в случае закупки продукции с разными ставками НДС</w:t>
      </w:r>
    </w:p>
  </w:comment>
  <w:comment w:id="0" w:author="Черепанова Олеся Александровна" w:date="2023-08-08T09:29:00Z" w:initials="ЧОА">
    <w:p w14:paraId="00000006" w14:textId="0000000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При передаче ТЗ и приложений к ИКЗ раскраска цветом и примечания по тексту удаляются!</w:t>
      </w:r>
    </w:p>
  </w:comment>
</w:comments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Черепанова Олеся Александровна" w:date="2024-03-06T15:39:00Z" w:initials="ЧОА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Для образовательных услуг</w:t>
      </w:r>
    </w:p>
  </w:comment>
  <w:comment w:id="1" w:author="Черепанова Олеся Александровна" w:date="2024-02-13T08:06:00Z" w:initials="ЧОА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Примерная форма Таблицы обоснования НМЦД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Можно вынести в отдельный файл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5" w15:done="1"/>
  <w15:commentEx w15:paraId="00000006" w15:done="1"/>
</w15:commentsEx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45422DAC" w16cex:dateUtc="2025-06-04T10:21:00Z"/>
  <w16cex:commentExtensible w16cex:durableId="5AE3D97F" w16cex:dateUtc="2023-08-08T04:29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5" w16cid:durableId="45422DAC"/>
  <w16cid:commentId w16cid:paraId="00000006" w16cid:durableId="5AE3D97F"/>
</w16cid:commentsIds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5B99262E"/>
  <w16cid:commentId w16cid:paraId="00000004" w16cid:durableId="407AFFD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Calibri">
    <w:panose1 w:val="020F0502020204030204"/>
  </w:font>
  <w:font w:name="MS Mincho">
    <w:panose1 w:val="02020506060505090204"/>
  </w:font>
  <w:font w:name="Segoe UI">
    <w:panose1 w:val="020B0502040204020203"/>
  </w:font>
  <w:font w:name="SimSun">
    <w:panose1 w:val="02010600030101010101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10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200" w:hanging="360"/>
        <w:tabs>
          <w:tab w:val="num" w:pos="12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20" w:hanging="180"/>
        <w:tabs>
          <w:tab w:val="num" w:pos="19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40" w:hanging="360"/>
        <w:tabs>
          <w:tab w:val="num" w:pos="26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60" w:hanging="360"/>
        <w:tabs>
          <w:tab w:val="num" w:pos="33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80" w:hanging="180"/>
        <w:tabs>
          <w:tab w:val="num" w:pos="40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00" w:hanging="360"/>
        <w:tabs>
          <w:tab w:val="num" w:pos="48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20" w:hanging="360"/>
        <w:tabs>
          <w:tab w:val="num" w:pos="55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40" w:hanging="180"/>
        <w:tabs>
          <w:tab w:val="num" w:pos="6240" w:leader="none"/>
        </w:tabs>
      </w:pPr>
    </w:lvl>
  </w:abstractNum>
  <w:abstractNum w:abstractNumId="8">
    <w:multiLevelType w:val="hybridMultilevel"/>
    <w:styleLink w:val="965"/>
    <w:lvl w:ilvl="0">
      <w:start w:val="1"/>
      <w:numFmt w:val="decimal"/>
      <w:pStyle w:val="962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963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964"/>
      <w:isLgl w:val="false"/>
      <w:suff w:val="tab"/>
      <w:lvlText w:val="%1.%2.%3."/>
      <w:lvlJc w:val="left"/>
      <w:pPr>
        <w:ind w:left="1135" w:hanging="567"/>
      </w:pPr>
      <w:rPr>
        <w:rFonts w:hint="default"/>
      </w:rPr>
    </w:lvl>
    <w:lvl w:ilvl="3">
      <w:start w:val="1"/>
      <w:numFmt w:val="decimal"/>
      <w:pStyle w:val="966"/>
      <w:isLgl w:val="false"/>
      <w:suff w:val="tab"/>
      <w:lvlText w:val="%1.%2.%3.%4."/>
      <w:lvlJc w:val="left"/>
      <w:pPr>
        <w:ind w:left="1816" w:hanging="681"/>
      </w:pPr>
      <w:rPr>
        <w:rFonts w:hint="default"/>
      </w:rPr>
    </w:lvl>
    <w:lvl w:ilvl="4">
      <w:start w:val="1"/>
      <w:numFmt w:val="decimal"/>
      <w:pStyle w:val="967"/>
      <w:isLgl w:val="false"/>
      <w:suff w:val="tab"/>
      <w:lvlText w:val="%1.%2.%3.%4.%5."/>
      <w:lvlJc w:val="left"/>
      <w:pPr>
        <w:ind w:left="1304" w:hanging="794"/>
      </w:pPr>
      <w:rPr>
        <w:rFonts w:hint="default"/>
      </w:rPr>
    </w:lvl>
    <w:lvl w:ilvl="5">
      <w:start w:val="1"/>
      <w:numFmt w:val="russianLower"/>
      <w:lvlRestart w:val="4"/>
      <w:pStyle w:val="968"/>
      <w:isLgl w:val="false"/>
      <w:suff w:val="tab"/>
      <w:lvlText w:val="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pStyle w:val="969"/>
      <w:isLgl w:val="false"/>
      <w:suff w:val="nothing"/>
      <w:lvlText w:val="Форма %7"/>
      <w:lvlJc w:val="right"/>
      <w:pPr>
        <w:ind w:left="14455" w:firstLine="288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96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)"/>
      <w:lvlJc w:val="left"/>
      <w:pPr>
        <w:ind w:left="2361" w:hanging="705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73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5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7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9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1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3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56" w:hanging="180"/>
      </w:p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70" w:hanging="72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multiLevelType w:val="hybridMultilevel"/>
    <w:numStyleLink w:val="965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20" w:hanging="180"/>
      </w:p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sz w:val="20"/>
        <w:highlight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20" w:hanging="180"/>
      </w:pPr>
    </w:lvl>
  </w:abstractNum>
  <w:abstractNum w:abstractNumId="4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20" w:hanging="180"/>
      </w:pPr>
    </w:lvl>
  </w:abstractNum>
  <w:num w:numId="1">
    <w:abstractNumId w:val="11"/>
  </w:num>
  <w:num w:numId="2">
    <w:abstractNumId w:val="20"/>
  </w:num>
  <w:num w:numId="3">
    <w:abstractNumId w:val="9"/>
  </w:num>
  <w:num w:numId="4">
    <w:abstractNumId w:val="1"/>
  </w:num>
  <w:num w:numId="5">
    <w:abstractNumId w:val="7"/>
  </w:num>
  <w:num w:numId="6">
    <w:abstractNumId w:val="16"/>
  </w:num>
  <w:num w:numId="7">
    <w:abstractNumId w:val="22"/>
  </w:num>
  <w:num w:numId="8">
    <w:abstractNumId w:val="5"/>
  </w:num>
  <w:num w:numId="9">
    <w:abstractNumId w:val="2"/>
  </w:num>
  <w:num w:numId="10">
    <w:abstractNumId w:val="24"/>
  </w:num>
  <w:num w:numId="11">
    <w:abstractNumId w:val="18"/>
  </w:num>
  <w:num w:numId="12">
    <w:abstractNumId w:val="10"/>
  </w:num>
  <w:num w:numId="13">
    <w:abstractNumId w:val="12"/>
  </w:num>
  <w:num w:numId="14">
    <w:abstractNumId w:val="17"/>
  </w:num>
  <w:num w:numId="15">
    <w:abstractNumId w:val="3"/>
  </w:num>
  <w:num w:numId="16">
    <w:abstractNumId w:val="4"/>
  </w:num>
  <w:num w:numId="17">
    <w:abstractNumId w:val="6"/>
  </w:num>
  <w:num w:numId="18">
    <w:abstractNumId w:val="19"/>
  </w:num>
  <w:num w:numId="19">
    <w:abstractNumId w:val="0"/>
  </w:num>
  <w:num w:numId="20">
    <w:abstractNumId w:val="23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8"/>
  </w:num>
  <w:num w:numId="24">
    <w:abstractNumId w:val="21"/>
    <w:lvlOverride w:ilvl="0">
      <w:lvl w:ilvl="0">
        <w:start w:val="1"/>
        <w:numFmt w:val="decimal"/>
        <w:pStyle w:val="962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963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964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966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967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968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969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5">
    <w:abstractNumId w:val="21"/>
    <w:lvlOverride w:ilvl="0">
      <w:startOverride w:val="1"/>
      <w:lvl w:ilvl="0">
        <w:start w:val="1"/>
        <w:numFmt w:val="decimal"/>
        <w:pStyle w:val="962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963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</w:num>
  <w:num w:numId="26">
    <w:abstractNumId w:val="2"/>
  </w:num>
  <w:num w:numId="27">
    <w:abstractNumId w:val="13"/>
  </w:num>
  <w:num w:numId="28">
    <w:abstractNumId w:val="21"/>
    <w:lvlOverride w:ilvl="0">
      <w:lvl w:ilvl="0">
        <w:start w:val="1"/>
        <w:numFmt w:val="decimal"/>
        <w:pStyle w:val="962"/>
        <w:isLgl w:val="false"/>
        <w:suff w:val="tab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pStyle w:val="963"/>
        <w:isLgl w:val="false"/>
        <w:suff w:val="tab"/>
        <w:lvlText w:val="%1.%2."/>
        <w:lvlJc w:val="left"/>
        <w:pPr>
          <w:ind w:left="0" w:firstLine="0"/>
        </w:pPr>
      </w:lvl>
    </w:lvlOverride>
    <w:lvlOverride w:ilvl="2">
      <w:lvl w:ilvl="2">
        <w:start w:val="1"/>
        <w:numFmt w:val="decimal"/>
        <w:pStyle w:val="964"/>
        <w:isLgl w:val="false"/>
        <w:suff w:val="tab"/>
        <w:lvlText w:val="%1.%2.%3."/>
        <w:lvlJc w:val="left"/>
        <w:pPr>
          <w:ind w:left="1135" w:hanging="567"/>
        </w:pPr>
      </w:lvl>
    </w:lvlOverride>
    <w:lvlOverride w:ilvl="3">
      <w:lvl w:ilvl="3">
        <w:start w:val="1"/>
        <w:numFmt w:val="decimal"/>
        <w:pStyle w:val="966"/>
        <w:isLgl w:val="false"/>
        <w:suff w:val="tab"/>
        <w:lvlText w:val="%1.%2.%3.%4."/>
        <w:lvlJc w:val="left"/>
        <w:pPr>
          <w:ind w:left="1816" w:hanging="681"/>
        </w:pPr>
      </w:lvl>
    </w:lvlOverride>
    <w:lvlOverride w:ilvl="4">
      <w:lvl w:ilvl="4">
        <w:start w:val="1"/>
        <w:numFmt w:val="decimal"/>
        <w:pStyle w:val="967"/>
        <w:isLgl w:val="false"/>
        <w:suff w:val="tab"/>
        <w:lvlText w:val="%1.%2.%3.%4.%5."/>
        <w:lvlJc w:val="left"/>
        <w:pPr>
          <w:ind w:left="1304" w:hanging="794"/>
        </w:pPr>
      </w:lvl>
    </w:lvlOverride>
    <w:lvlOverride w:ilvl="5">
      <w:lvl w:ilvl="5">
        <w:start w:val="1"/>
        <w:numFmt w:val="russianLower"/>
        <w:lvlRestart w:val="4"/>
        <w:pStyle w:val="968"/>
        <w:isLgl w:val="false"/>
        <w:suff w:val="tab"/>
        <w:lvlText w:val="%6)"/>
        <w:lvlJc w:val="left"/>
        <w:pPr>
          <w:ind w:left="340" w:hanging="340"/>
        </w:pPr>
      </w:lvl>
    </w:lvlOverride>
    <w:lvlOverride w:ilvl="6">
      <w:lvl w:ilvl="6">
        <w:start w:val="1"/>
        <w:numFmt w:val="decimal"/>
        <w:pStyle w:val="969"/>
        <w:isLgl w:val="false"/>
        <w:suff w:val="nothing"/>
        <w:lvlText w:val="Форма %7"/>
        <w:lvlJc w:val="right"/>
        <w:pPr>
          <w:ind w:left="14455" w:firstLine="288"/>
        </w:p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</w:lvl>
    </w:lvlOverride>
  </w:num>
  <w:num w:numId="29">
    <w:abstractNumId w:val="15"/>
  </w:num>
  <w:num w:numId="30">
    <w:abstractNumId w:val="14"/>
  </w:num>
  <w:num w:numId="31">
    <w:abstractNumId w:val="26"/>
  </w:num>
  <w:num w:numId="32">
    <w:abstractNumId w:val="27"/>
  </w:num>
  <w:num w:numId="33">
    <w:abstractNumId w:val="28"/>
  </w:num>
  <w:num w:numId="34">
    <w:abstractNumId w:val="29"/>
  </w:num>
  <w:num w:numId="35">
    <w:abstractNumId w:val="30"/>
  </w:num>
  <w:num w:numId="36">
    <w:abstractNumId w:val="31"/>
  </w:num>
  <w:num w:numId="37">
    <w:abstractNumId w:val="32"/>
  </w:num>
  <w:num w:numId="38">
    <w:abstractNumId w:val="33"/>
  </w:num>
  <w:num w:numId="39">
    <w:abstractNumId w:val="34"/>
  </w:num>
  <w:num w:numId="40">
    <w:abstractNumId w:val="35"/>
  </w:num>
  <w:num w:numId="41">
    <w:abstractNumId w:val="36"/>
  </w:num>
  <w:num w:numId="42">
    <w:abstractNumId w:val="37"/>
  </w:num>
  <w:num w:numId="43">
    <w:abstractNumId w:val="38"/>
  </w:num>
  <w:num w:numId="44">
    <w:abstractNumId w:val="39"/>
  </w:num>
  <w:num w:numId="45">
    <w:abstractNumId w:val="40"/>
  </w:num>
  <w:num w:numId="46">
    <w:abstractNumId w:val="4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Черепанова Олеся Александровна">
    <w15:presenceInfo w15:providerId="None" w15:userId="Черепанова Олеся Александровна"/>
  </w15:person>
</w15:people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Черепанова Олеся Александровна">
    <w15:presenceInfo w15:providerId="None" w15:userId="Черепанова Олеся Александро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4">
    <w:name w:val="Heading 1"/>
    <w:basedOn w:val="919"/>
    <w:next w:val="919"/>
    <w:link w:val="7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5">
    <w:name w:val="Heading 1 Char"/>
    <w:basedOn w:val="923"/>
    <w:link w:val="754"/>
    <w:uiPriority w:val="9"/>
    <w:rPr>
      <w:rFonts w:ascii="Arial" w:hAnsi="Arial" w:eastAsia="Arial" w:cs="Arial"/>
      <w:sz w:val="40"/>
      <w:szCs w:val="40"/>
    </w:rPr>
  </w:style>
  <w:style w:type="character" w:styleId="756">
    <w:name w:val="Heading 2 Char"/>
    <w:basedOn w:val="923"/>
    <w:link w:val="920"/>
    <w:uiPriority w:val="9"/>
    <w:rPr>
      <w:rFonts w:ascii="Arial" w:hAnsi="Arial" w:eastAsia="Arial" w:cs="Arial"/>
      <w:sz w:val="34"/>
    </w:rPr>
  </w:style>
  <w:style w:type="paragraph" w:styleId="757">
    <w:name w:val="Heading 3"/>
    <w:basedOn w:val="919"/>
    <w:next w:val="919"/>
    <w:link w:val="75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8">
    <w:name w:val="Heading 3 Char"/>
    <w:basedOn w:val="923"/>
    <w:link w:val="757"/>
    <w:uiPriority w:val="9"/>
    <w:rPr>
      <w:rFonts w:ascii="Arial" w:hAnsi="Arial" w:eastAsia="Arial" w:cs="Arial"/>
      <w:sz w:val="30"/>
      <w:szCs w:val="30"/>
    </w:rPr>
  </w:style>
  <w:style w:type="paragraph" w:styleId="759">
    <w:name w:val="Heading 4"/>
    <w:basedOn w:val="919"/>
    <w:next w:val="919"/>
    <w:link w:val="7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0">
    <w:name w:val="Heading 4 Char"/>
    <w:basedOn w:val="923"/>
    <w:link w:val="759"/>
    <w:uiPriority w:val="9"/>
    <w:rPr>
      <w:rFonts w:ascii="Arial" w:hAnsi="Arial" w:eastAsia="Arial" w:cs="Arial"/>
      <w:b/>
      <w:bCs/>
      <w:sz w:val="26"/>
      <w:szCs w:val="26"/>
    </w:rPr>
  </w:style>
  <w:style w:type="character" w:styleId="761">
    <w:name w:val="Heading 5 Char"/>
    <w:basedOn w:val="923"/>
    <w:link w:val="921"/>
    <w:uiPriority w:val="9"/>
    <w:rPr>
      <w:rFonts w:ascii="Arial" w:hAnsi="Arial" w:eastAsia="Arial" w:cs="Arial"/>
      <w:b/>
      <w:bCs/>
      <w:sz w:val="24"/>
      <w:szCs w:val="24"/>
    </w:rPr>
  </w:style>
  <w:style w:type="paragraph" w:styleId="762">
    <w:name w:val="Heading 6"/>
    <w:basedOn w:val="919"/>
    <w:next w:val="919"/>
    <w:link w:val="76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3">
    <w:name w:val="Heading 6 Char"/>
    <w:basedOn w:val="923"/>
    <w:link w:val="762"/>
    <w:uiPriority w:val="9"/>
    <w:rPr>
      <w:rFonts w:ascii="Arial" w:hAnsi="Arial" w:eastAsia="Arial" w:cs="Arial"/>
      <w:b/>
      <w:bCs/>
      <w:sz w:val="22"/>
      <w:szCs w:val="22"/>
    </w:rPr>
  </w:style>
  <w:style w:type="character" w:styleId="764">
    <w:name w:val="Heading 7 Char"/>
    <w:basedOn w:val="923"/>
    <w:link w:val="92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5">
    <w:name w:val="Heading 8"/>
    <w:basedOn w:val="919"/>
    <w:next w:val="919"/>
    <w:link w:val="76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6">
    <w:name w:val="Heading 8 Char"/>
    <w:basedOn w:val="923"/>
    <w:link w:val="765"/>
    <w:uiPriority w:val="9"/>
    <w:rPr>
      <w:rFonts w:ascii="Arial" w:hAnsi="Arial" w:eastAsia="Arial" w:cs="Arial"/>
      <w:i/>
      <w:iCs/>
      <w:sz w:val="22"/>
      <w:szCs w:val="22"/>
    </w:rPr>
  </w:style>
  <w:style w:type="paragraph" w:styleId="767">
    <w:name w:val="Heading 9"/>
    <w:basedOn w:val="919"/>
    <w:next w:val="919"/>
    <w:link w:val="76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8">
    <w:name w:val="Heading 9 Char"/>
    <w:basedOn w:val="923"/>
    <w:link w:val="767"/>
    <w:uiPriority w:val="9"/>
    <w:rPr>
      <w:rFonts w:ascii="Arial" w:hAnsi="Arial" w:eastAsia="Arial" w:cs="Arial"/>
      <w:i/>
      <w:iCs/>
      <w:sz w:val="21"/>
      <w:szCs w:val="21"/>
    </w:rPr>
  </w:style>
  <w:style w:type="character" w:styleId="769">
    <w:name w:val="Title Char"/>
    <w:basedOn w:val="923"/>
    <w:link w:val="949"/>
    <w:uiPriority w:val="10"/>
    <w:rPr>
      <w:sz w:val="48"/>
      <w:szCs w:val="48"/>
    </w:rPr>
  </w:style>
  <w:style w:type="paragraph" w:styleId="770">
    <w:name w:val="Subtitle"/>
    <w:basedOn w:val="919"/>
    <w:next w:val="919"/>
    <w:link w:val="771"/>
    <w:uiPriority w:val="11"/>
    <w:qFormat/>
    <w:pPr>
      <w:spacing w:before="200" w:after="200"/>
    </w:pPr>
    <w:rPr>
      <w:sz w:val="24"/>
      <w:szCs w:val="24"/>
    </w:rPr>
  </w:style>
  <w:style w:type="character" w:styleId="771">
    <w:name w:val="Subtitle Char"/>
    <w:basedOn w:val="923"/>
    <w:link w:val="770"/>
    <w:uiPriority w:val="11"/>
    <w:rPr>
      <w:sz w:val="24"/>
      <w:szCs w:val="24"/>
    </w:rPr>
  </w:style>
  <w:style w:type="paragraph" w:styleId="772">
    <w:name w:val="Quote"/>
    <w:basedOn w:val="919"/>
    <w:next w:val="919"/>
    <w:link w:val="773"/>
    <w:uiPriority w:val="29"/>
    <w:qFormat/>
    <w:pPr>
      <w:ind w:left="720" w:right="720"/>
    </w:pPr>
    <w:rPr>
      <w:i/>
    </w:rPr>
  </w:style>
  <w:style w:type="character" w:styleId="773">
    <w:name w:val="Quote Char"/>
    <w:link w:val="772"/>
    <w:uiPriority w:val="29"/>
    <w:rPr>
      <w:i/>
    </w:rPr>
  </w:style>
  <w:style w:type="paragraph" w:styleId="774">
    <w:name w:val="Intense Quote"/>
    <w:basedOn w:val="919"/>
    <w:next w:val="919"/>
    <w:link w:val="77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5">
    <w:name w:val="Intense Quote Char"/>
    <w:link w:val="774"/>
    <w:uiPriority w:val="30"/>
    <w:rPr>
      <w:i/>
    </w:rPr>
  </w:style>
  <w:style w:type="character" w:styleId="776">
    <w:name w:val="Header Char"/>
    <w:basedOn w:val="923"/>
    <w:link w:val="931"/>
    <w:uiPriority w:val="99"/>
  </w:style>
  <w:style w:type="character" w:styleId="777">
    <w:name w:val="Footer Char"/>
    <w:basedOn w:val="923"/>
    <w:link w:val="928"/>
    <w:uiPriority w:val="99"/>
  </w:style>
  <w:style w:type="character" w:styleId="778">
    <w:name w:val="Caption Char"/>
    <w:basedOn w:val="923"/>
    <w:link w:val="938"/>
    <w:uiPriority w:val="35"/>
    <w:rPr>
      <w:b/>
      <w:bCs/>
      <w:color w:val="4f81bd" w:themeColor="accent1"/>
      <w:sz w:val="18"/>
      <w:szCs w:val="18"/>
    </w:rPr>
  </w:style>
  <w:style w:type="table" w:styleId="779">
    <w:name w:val="Table Grid"/>
    <w:basedOn w:val="92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0">
    <w:name w:val="Table Grid Light"/>
    <w:basedOn w:val="92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1">
    <w:name w:val="Plain Table 1"/>
    <w:basedOn w:val="92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2">
    <w:name w:val="Plain Table 2"/>
    <w:basedOn w:val="92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3">
    <w:name w:val="Plain Table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4">
    <w:name w:val="Plain Table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Plain Table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6">
    <w:name w:val="Grid Table 1 Light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1 Light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2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2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4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8">
    <w:name w:val="Grid Table 4 - Accent 1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9">
    <w:name w:val="Grid Table 4 - Accent 2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0">
    <w:name w:val="Grid Table 4 - Accent 3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1">
    <w:name w:val="Grid Table 4 - Accent 4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2">
    <w:name w:val="Grid Table 4 - Accent 5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3">
    <w:name w:val="Grid Table 4 - Accent 6"/>
    <w:basedOn w:val="92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4">
    <w:name w:val="Grid Table 5 Dark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5">
    <w:name w:val="Grid Table 5 Dark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16">
    <w:name w:val="Grid Table 5 Dark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17">
    <w:name w:val="Grid Table 5 Dark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18">
    <w:name w:val="Grid Table 5 Dark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19">
    <w:name w:val="Grid Table 5 Dark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20">
    <w:name w:val="Grid Table 5 Dark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21">
    <w:name w:val="Grid Table 6 Colorful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2">
    <w:name w:val="Grid Table 6 Colorful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3">
    <w:name w:val="Grid Table 6 Colorful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4">
    <w:name w:val="Grid Table 6 Colorful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5">
    <w:name w:val="Grid Table 6 Colorful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6">
    <w:name w:val="Grid Table 6 Colorful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7">
    <w:name w:val="Grid Table 6 Colorful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8">
    <w:name w:val="Grid Table 7 Colorful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7 Colorful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7 Colorful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3">
    <w:name w:val="List Table 2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4">
    <w:name w:val="List Table 2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5">
    <w:name w:val="List Table 2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6">
    <w:name w:val="List Table 2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7">
    <w:name w:val="List Table 2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8">
    <w:name w:val="List Table 2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9">
    <w:name w:val="List Table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3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5 Dark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5 Dark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5 Dark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5 Dark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0">
    <w:name w:val="List Table 6 Colorful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1">
    <w:name w:val="List Table 6 Colorful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2">
    <w:name w:val="List Table 6 Colorful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3">
    <w:name w:val="List Table 6 Colorful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4">
    <w:name w:val="List Table 6 Colorful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5">
    <w:name w:val="List Table 6 Colorful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6">
    <w:name w:val="List Table 6 Colorful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7">
    <w:name w:val="List Table 7 Colorful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8">
    <w:name w:val="List Table 7 Colorful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79">
    <w:name w:val="List Table 7 Colorful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80">
    <w:name w:val="List Table 7 Colorful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81">
    <w:name w:val="List Table 7 Colorful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82">
    <w:name w:val="List Table 7 Colorful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83">
    <w:name w:val="List Table 7 Colorful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84">
    <w:name w:val="Lined - Accent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5">
    <w:name w:val="Lined - Accent 1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86">
    <w:name w:val="Lined - Accent 2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87">
    <w:name w:val="Lined - Accent 3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88">
    <w:name w:val="Lined - Accent 4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89">
    <w:name w:val="Lined - Accent 5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90">
    <w:name w:val="Lined - Accent 6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91">
    <w:name w:val="Bordered &amp; Lined - Accent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2">
    <w:name w:val="Bordered &amp; Lined - Accent 1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93">
    <w:name w:val="Bordered &amp; Lined - Accent 2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94">
    <w:name w:val="Bordered &amp; Lined - Accent 3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95">
    <w:name w:val="Bordered &amp; Lined - Accent 4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96">
    <w:name w:val="Bordered &amp; Lined - Accent 5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97">
    <w:name w:val="Bordered &amp; Lined - Accent 6"/>
    <w:basedOn w:val="92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98">
    <w:name w:val="Bordered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9">
    <w:name w:val="Bordered - Accent 1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0">
    <w:name w:val="Bordered - Accent 2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1">
    <w:name w:val="Bordered - Accent 3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2">
    <w:name w:val="Bordered - Accent 4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3">
    <w:name w:val="Bordered - Accent 5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4">
    <w:name w:val="Bordered - Accent 6"/>
    <w:basedOn w:val="92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5">
    <w:name w:val="Footnote Text Char"/>
    <w:link w:val="974"/>
    <w:uiPriority w:val="99"/>
    <w:rPr>
      <w:sz w:val="18"/>
    </w:rPr>
  </w:style>
  <w:style w:type="paragraph" w:styleId="906">
    <w:name w:val="endnote text"/>
    <w:basedOn w:val="919"/>
    <w:link w:val="907"/>
    <w:uiPriority w:val="99"/>
    <w:semiHidden/>
    <w:unhideWhenUsed/>
    <w:pPr>
      <w:spacing w:after="0" w:line="240" w:lineRule="auto"/>
    </w:pPr>
    <w:rPr>
      <w:sz w:val="20"/>
    </w:rPr>
  </w:style>
  <w:style w:type="character" w:styleId="907">
    <w:name w:val="Endnote Text Char"/>
    <w:link w:val="906"/>
    <w:uiPriority w:val="99"/>
    <w:rPr>
      <w:sz w:val="20"/>
    </w:rPr>
  </w:style>
  <w:style w:type="character" w:styleId="908">
    <w:name w:val="endnote reference"/>
    <w:basedOn w:val="923"/>
    <w:uiPriority w:val="99"/>
    <w:semiHidden/>
    <w:unhideWhenUsed/>
    <w:rPr>
      <w:vertAlign w:val="superscript"/>
    </w:rPr>
  </w:style>
  <w:style w:type="paragraph" w:styleId="909">
    <w:name w:val="toc 1"/>
    <w:basedOn w:val="919"/>
    <w:next w:val="919"/>
    <w:uiPriority w:val="39"/>
    <w:unhideWhenUsed/>
    <w:pPr>
      <w:ind w:left="0" w:right="0" w:firstLine="0"/>
      <w:spacing w:after="57"/>
    </w:pPr>
  </w:style>
  <w:style w:type="paragraph" w:styleId="910">
    <w:name w:val="toc 2"/>
    <w:basedOn w:val="919"/>
    <w:next w:val="919"/>
    <w:uiPriority w:val="39"/>
    <w:unhideWhenUsed/>
    <w:pPr>
      <w:ind w:left="283" w:right="0" w:firstLine="0"/>
      <w:spacing w:after="57"/>
    </w:pPr>
  </w:style>
  <w:style w:type="paragraph" w:styleId="911">
    <w:name w:val="toc 3"/>
    <w:basedOn w:val="919"/>
    <w:next w:val="919"/>
    <w:uiPriority w:val="39"/>
    <w:unhideWhenUsed/>
    <w:pPr>
      <w:ind w:left="567" w:right="0" w:firstLine="0"/>
      <w:spacing w:after="57"/>
    </w:pPr>
  </w:style>
  <w:style w:type="paragraph" w:styleId="912">
    <w:name w:val="toc 4"/>
    <w:basedOn w:val="919"/>
    <w:next w:val="919"/>
    <w:uiPriority w:val="39"/>
    <w:unhideWhenUsed/>
    <w:pPr>
      <w:ind w:left="850" w:right="0" w:firstLine="0"/>
      <w:spacing w:after="57"/>
    </w:pPr>
  </w:style>
  <w:style w:type="paragraph" w:styleId="913">
    <w:name w:val="toc 5"/>
    <w:basedOn w:val="919"/>
    <w:next w:val="919"/>
    <w:uiPriority w:val="39"/>
    <w:unhideWhenUsed/>
    <w:pPr>
      <w:ind w:left="1134" w:right="0" w:firstLine="0"/>
      <w:spacing w:after="57"/>
    </w:pPr>
  </w:style>
  <w:style w:type="paragraph" w:styleId="914">
    <w:name w:val="toc 7"/>
    <w:basedOn w:val="919"/>
    <w:next w:val="919"/>
    <w:uiPriority w:val="39"/>
    <w:unhideWhenUsed/>
    <w:pPr>
      <w:ind w:left="1701" w:right="0" w:firstLine="0"/>
      <w:spacing w:after="57"/>
    </w:pPr>
  </w:style>
  <w:style w:type="paragraph" w:styleId="915">
    <w:name w:val="toc 8"/>
    <w:basedOn w:val="919"/>
    <w:next w:val="919"/>
    <w:uiPriority w:val="39"/>
    <w:unhideWhenUsed/>
    <w:pPr>
      <w:ind w:left="1984" w:right="0" w:firstLine="0"/>
      <w:spacing w:after="57"/>
    </w:pPr>
  </w:style>
  <w:style w:type="paragraph" w:styleId="916">
    <w:name w:val="toc 9"/>
    <w:basedOn w:val="919"/>
    <w:next w:val="919"/>
    <w:uiPriority w:val="39"/>
    <w:unhideWhenUsed/>
    <w:pPr>
      <w:ind w:left="2268" w:right="0" w:firstLine="0"/>
      <w:spacing w:after="57"/>
    </w:pPr>
  </w:style>
  <w:style w:type="paragraph" w:styleId="917">
    <w:name w:val="TOC Heading"/>
    <w:uiPriority w:val="39"/>
    <w:unhideWhenUsed/>
  </w:style>
  <w:style w:type="paragraph" w:styleId="918">
    <w:name w:val="table of figures"/>
    <w:basedOn w:val="919"/>
    <w:next w:val="919"/>
    <w:uiPriority w:val="99"/>
    <w:unhideWhenUsed/>
    <w:pPr>
      <w:spacing w:after="0" w:afterAutospacing="0"/>
    </w:pPr>
  </w:style>
  <w:style w:type="paragraph" w:styleId="919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0">
    <w:name w:val="Heading 2"/>
    <w:basedOn w:val="919"/>
    <w:next w:val="919"/>
    <w:link w:val="954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921">
    <w:name w:val="Heading 5"/>
    <w:basedOn w:val="919"/>
    <w:next w:val="919"/>
    <w:link w:val="926"/>
    <w:qFormat/>
    <w:pPr>
      <w:spacing w:before="240" w:after="60"/>
      <w:outlineLvl w:val="4"/>
    </w:pPr>
    <w:rPr>
      <w:rFonts w:eastAsia="SimSun"/>
      <w:b/>
      <w:bCs/>
      <w:i/>
      <w:iCs/>
      <w:sz w:val="26"/>
      <w:szCs w:val="26"/>
    </w:rPr>
  </w:style>
  <w:style w:type="paragraph" w:styleId="922">
    <w:name w:val="Heading 7"/>
    <w:basedOn w:val="919"/>
    <w:next w:val="919"/>
    <w:link w:val="927"/>
    <w:qFormat/>
    <w:pPr>
      <w:spacing w:before="240" w:after="60"/>
      <w:outlineLvl w:val="6"/>
    </w:pPr>
    <w:rPr>
      <w:rFonts w:eastAsia="SimSun"/>
    </w:rPr>
  </w:style>
  <w:style w:type="character" w:styleId="923" w:default="1">
    <w:name w:val="Default Paragraph Font"/>
    <w:uiPriority w:val="1"/>
    <w:semiHidden/>
    <w:unhideWhenUsed/>
  </w:style>
  <w:style w:type="table" w:styleId="92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5" w:default="1">
    <w:name w:val="No List"/>
    <w:uiPriority w:val="99"/>
    <w:semiHidden/>
    <w:unhideWhenUsed/>
  </w:style>
  <w:style w:type="character" w:styleId="926" w:customStyle="1">
    <w:name w:val="Заголовок 5 Знак"/>
    <w:basedOn w:val="923"/>
    <w:link w:val="921"/>
    <w:rPr>
      <w:rFonts w:ascii="Times New Roman" w:hAnsi="Times New Roman" w:eastAsia="SimSun" w:cs="Times New Roman"/>
      <w:b/>
      <w:bCs/>
      <w:i/>
      <w:iCs/>
      <w:sz w:val="26"/>
      <w:szCs w:val="26"/>
      <w:lang w:eastAsia="ru-RU"/>
    </w:rPr>
  </w:style>
  <w:style w:type="character" w:styleId="927" w:customStyle="1">
    <w:name w:val="Заголовок 7 Знак"/>
    <w:basedOn w:val="923"/>
    <w:link w:val="922"/>
    <w:rPr>
      <w:rFonts w:ascii="Times New Roman" w:hAnsi="Times New Roman" w:eastAsia="SimSun" w:cs="Times New Roman"/>
      <w:sz w:val="24"/>
      <w:szCs w:val="24"/>
      <w:lang w:eastAsia="ru-RU"/>
    </w:rPr>
  </w:style>
  <w:style w:type="paragraph" w:styleId="928">
    <w:name w:val="Footer"/>
    <w:basedOn w:val="919"/>
    <w:link w:val="929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929" w:customStyle="1">
    <w:name w:val="Нижний колонтитул Знак"/>
    <w:basedOn w:val="923"/>
    <w:link w:val="928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930">
    <w:name w:val="page number"/>
    <w:basedOn w:val="923"/>
  </w:style>
  <w:style w:type="paragraph" w:styleId="931">
    <w:name w:val="Header"/>
    <w:basedOn w:val="919"/>
    <w:link w:val="93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2" w:customStyle="1">
    <w:name w:val="Верхний колонтитул Знак"/>
    <w:basedOn w:val="923"/>
    <w:link w:val="93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3">
    <w:name w:val="No Spacing"/>
    <w:link w:val="971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4">
    <w:name w:val="List Paragraph"/>
    <w:basedOn w:val="919"/>
    <w:link w:val="961"/>
    <w:uiPriority w:val="34"/>
    <w:qFormat/>
    <w:pPr>
      <w:contextualSpacing/>
      <w:ind w:left="720"/>
    </w:pPr>
  </w:style>
  <w:style w:type="paragraph" w:styleId="935">
    <w:name w:val="Balloon Text"/>
    <w:basedOn w:val="919"/>
    <w:link w:val="93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36" w:customStyle="1">
    <w:name w:val="Текст выноски Знак"/>
    <w:basedOn w:val="923"/>
    <w:link w:val="935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character" w:styleId="937">
    <w:name w:val="Hyperlink"/>
    <w:uiPriority w:val="99"/>
    <w:rPr>
      <w:color w:val="0000ff"/>
      <w:u w:val="single"/>
    </w:rPr>
  </w:style>
  <w:style w:type="paragraph" w:styleId="938">
    <w:name w:val="Caption"/>
    <w:basedOn w:val="919"/>
    <w:next w:val="919"/>
    <w:link w:val="778"/>
    <w:uiPriority w:val="35"/>
    <w:unhideWhenUsed/>
    <w:qFormat/>
    <w:pPr>
      <w:spacing w:after="200"/>
    </w:pPr>
    <w:rPr>
      <w:rFonts w:asciiTheme="minorHAnsi" w:hAnsiTheme="minorHAnsi" w:eastAsiaTheme="minorHAnsi" w:cstheme="minorBidi"/>
      <w:b/>
      <w:bCs/>
      <w:color w:val="5b9bd5" w:themeColor="accent1"/>
      <w:sz w:val="18"/>
      <w:szCs w:val="18"/>
      <w:lang w:eastAsia="en-US"/>
    </w:rPr>
  </w:style>
  <w:style w:type="character" w:styleId="939">
    <w:name w:val="FollowedHyperlink"/>
    <w:basedOn w:val="923"/>
    <w:uiPriority w:val="99"/>
    <w:semiHidden/>
    <w:unhideWhenUsed/>
    <w:rPr>
      <w:color w:val="954f72" w:themeColor="followedHyperlink"/>
      <w:u w:val="single"/>
    </w:rPr>
  </w:style>
  <w:style w:type="paragraph" w:styleId="940">
    <w:name w:val="Body Text Indent"/>
    <w:basedOn w:val="919"/>
    <w:link w:val="941"/>
    <w:pPr>
      <w:ind w:left="1083" w:firstLine="537"/>
      <w:jc w:val="both"/>
      <w:tabs>
        <w:tab w:val="num" w:pos="0" w:leader="none"/>
      </w:tabs>
    </w:pPr>
    <w:rPr>
      <w:rFonts w:eastAsia="SimSun"/>
    </w:rPr>
  </w:style>
  <w:style w:type="character" w:styleId="941" w:customStyle="1">
    <w:name w:val="Основной текст с отступом Знак"/>
    <w:basedOn w:val="923"/>
    <w:link w:val="940"/>
    <w:rPr>
      <w:rFonts w:ascii="Times New Roman" w:hAnsi="Times New Roman" w:eastAsia="SimSun" w:cs="Times New Roman"/>
      <w:sz w:val="24"/>
      <w:szCs w:val="24"/>
      <w:lang w:eastAsia="ru-RU"/>
    </w:rPr>
  </w:style>
  <w:style w:type="paragraph" w:styleId="942" w:customStyle="1">
    <w:name w:val="Подпункт"/>
    <w:basedOn w:val="919"/>
    <w:pPr>
      <w:ind w:left="480" w:hanging="360"/>
      <w:jc w:val="both"/>
      <w:spacing w:line="360" w:lineRule="auto"/>
      <w:tabs>
        <w:tab w:val="num" w:pos="480" w:leader="none"/>
      </w:tabs>
    </w:pPr>
    <w:rPr>
      <w:sz w:val="28"/>
      <w:szCs w:val="20"/>
    </w:rPr>
  </w:style>
  <w:style w:type="paragraph" w:styleId="943" w:customStyle="1">
    <w:name w:val="Таблица шапка"/>
    <w:basedOn w:val="919"/>
    <w:pPr>
      <w:ind w:left="57" w:right="57"/>
      <w:keepNext/>
      <w:spacing w:before="40" w:after="40"/>
    </w:pPr>
    <w:rPr>
      <w:sz w:val="22"/>
      <w:szCs w:val="20"/>
    </w:rPr>
  </w:style>
  <w:style w:type="paragraph" w:styleId="944" w:customStyle="1">
    <w:name w:val="Таблица текст"/>
    <w:basedOn w:val="919"/>
    <w:pPr>
      <w:ind w:left="57" w:right="57"/>
      <w:spacing w:before="40" w:after="40"/>
    </w:pPr>
    <w:rPr>
      <w:szCs w:val="20"/>
    </w:rPr>
  </w:style>
  <w:style w:type="paragraph" w:styleId="945" w:customStyle="1">
    <w:name w:val="Times 12"/>
    <w:basedOn w:val="919"/>
    <w:pPr>
      <w:ind w:firstLine="567"/>
      <w:jc w:val="both"/>
    </w:pPr>
    <w:rPr>
      <w:szCs w:val="20"/>
      <w:lang w:eastAsia="ar-SA"/>
    </w:rPr>
  </w:style>
  <w:style w:type="paragraph" w:styleId="946" w:customStyle="1">
    <w:name w:val="StGen0"/>
    <w:basedOn w:val="919"/>
    <w:next w:val="949"/>
    <w:link w:val="947"/>
    <w:qFormat/>
    <w:pPr>
      <w:jc w:val="center"/>
    </w:pPr>
    <w:rPr>
      <w:rFonts w:eastAsia="MS Mincho" w:asciiTheme="minorHAnsi" w:hAnsiTheme="minorHAnsi" w:cstheme="minorBidi"/>
      <w:b/>
      <w:sz w:val="28"/>
      <w:szCs w:val="22"/>
    </w:rPr>
  </w:style>
  <w:style w:type="character" w:styleId="947" w:customStyle="1">
    <w:name w:val="Название Знак"/>
    <w:link w:val="946"/>
    <w:rPr>
      <w:rFonts w:eastAsia="MS Mincho"/>
      <w:b/>
      <w:sz w:val="28"/>
      <w:lang w:val="ru-RU" w:eastAsia="ru-RU" w:bidi="ar-SA"/>
    </w:rPr>
  </w:style>
  <w:style w:type="paragraph" w:styleId="948" w:customStyle="1">
    <w:name w:val="Пункт б/н"/>
    <w:basedOn w:val="919"/>
    <w:pPr>
      <w:ind w:firstLine="567"/>
      <w:jc w:val="both"/>
      <w:spacing w:line="360" w:lineRule="auto"/>
      <w:tabs>
        <w:tab w:val="left" w:pos="1134" w:leader="none"/>
      </w:tabs>
    </w:pPr>
    <w:rPr>
      <w:bCs/>
      <w:sz w:val="22"/>
      <w:szCs w:val="22"/>
    </w:rPr>
  </w:style>
  <w:style w:type="paragraph" w:styleId="949">
    <w:name w:val="Title"/>
    <w:basedOn w:val="919"/>
    <w:next w:val="919"/>
    <w:link w:val="950"/>
    <w:uiPriority w:val="10"/>
    <w:qFormat/>
    <w:pPr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50" w:customStyle="1">
    <w:name w:val="Заголовок Знак"/>
    <w:basedOn w:val="923"/>
    <w:link w:val="949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paragraph" w:styleId="951" w:customStyle="1">
    <w:name w:val="Обычный1"/>
    <w:pPr>
      <w:ind w:firstLine="567"/>
      <w:jc w:val="both"/>
      <w:spacing w:before="120" w:after="120" w:line="360" w:lineRule="atLeast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52" w:customStyle="1">
    <w:name w:val="Абзац списка1"/>
    <w:basedOn w:val="919"/>
    <w:link w:val="953"/>
    <w:pPr>
      <w:contextualSpacing/>
      <w:ind w:left="720" w:right="284" w:firstLine="720"/>
      <w:jc w:val="both"/>
      <w:spacing w:after="120" w:line="288" w:lineRule="auto"/>
    </w:pPr>
    <w:rPr>
      <w:rFonts w:eastAsia="SimSun"/>
      <w:color w:val="000000"/>
      <w:szCs w:val="20"/>
      <w:lang w:eastAsia="en-US"/>
    </w:rPr>
  </w:style>
  <w:style w:type="character" w:styleId="953" w:customStyle="1">
    <w:name w:val="List Paragraph Char"/>
    <w:link w:val="952"/>
    <w:rPr>
      <w:rFonts w:ascii="Times New Roman" w:hAnsi="Times New Roman" w:eastAsia="SimSun" w:cs="Times New Roman"/>
      <w:color w:val="000000"/>
      <w:sz w:val="24"/>
      <w:szCs w:val="20"/>
    </w:rPr>
  </w:style>
  <w:style w:type="character" w:styleId="954" w:customStyle="1">
    <w:name w:val="Заголовок 2 Знак"/>
    <w:basedOn w:val="923"/>
    <w:link w:val="920"/>
    <w:rPr>
      <w:rFonts w:asciiTheme="majorHAnsi" w:hAnsiTheme="majorHAnsi" w:eastAsiaTheme="majorEastAsia" w:cstheme="majorBidi"/>
      <w:color w:val="2e74b5" w:themeColor="accent1" w:themeShade="BF"/>
      <w:sz w:val="26"/>
      <w:szCs w:val="26"/>
      <w:lang w:eastAsia="ru-RU"/>
    </w:rPr>
  </w:style>
  <w:style w:type="paragraph" w:styleId="955" w:customStyle="1">
    <w:name w:val="StGen1"/>
    <w:basedOn w:val="919"/>
    <w:next w:val="949"/>
    <w:qFormat/>
    <w:pPr>
      <w:jc w:val="center"/>
    </w:pPr>
    <w:rPr>
      <w:b/>
      <w:sz w:val="28"/>
      <w:szCs w:val="20"/>
    </w:rPr>
  </w:style>
  <w:style w:type="character" w:styleId="956">
    <w:name w:val="annotation reference"/>
    <w:basedOn w:val="923"/>
    <w:uiPriority w:val="99"/>
    <w:unhideWhenUsed/>
    <w:rPr>
      <w:sz w:val="16"/>
      <w:szCs w:val="16"/>
    </w:rPr>
  </w:style>
  <w:style w:type="paragraph" w:styleId="957">
    <w:name w:val="annotation text"/>
    <w:basedOn w:val="919"/>
    <w:link w:val="958"/>
    <w:uiPriority w:val="99"/>
    <w:unhideWhenUsed/>
    <w:rPr>
      <w:sz w:val="20"/>
      <w:szCs w:val="20"/>
    </w:rPr>
  </w:style>
  <w:style w:type="character" w:styleId="958" w:customStyle="1">
    <w:name w:val="Текст примечания Знак"/>
    <w:basedOn w:val="923"/>
    <w:link w:val="957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59">
    <w:name w:val="annotation subject"/>
    <w:basedOn w:val="957"/>
    <w:next w:val="957"/>
    <w:link w:val="960"/>
    <w:uiPriority w:val="99"/>
    <w:semiHidden/>
    <w:unhideWhenUsed/>
    <w:rPr>
      <w:b/>
      <w:bCs/>
    </w:rPr>
  </w:style>
  <w:style w:type="character" w:styleId="960" w:customStyle="1">
    <w:name w:val="Тема примечания Знак"/>
    <w:basedOn w:val="958"/>
    <w:link w:val="959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961" w:customStyle="1">
    <w:name w:val="Абзац списка Знак"/>
    <w:basedOn w:val="923"/>
    <w:link w:val="934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2" w:customStyle="1">
    <w:name w:val="1-з"/>
    <w:qFormat/>
    <w:pPr>
      <w:numPr>
        <w:ilvl w:val="0"/>
        <w:numId w:val="24"/>
      </w:numPr>
      <w:jc w:val="center"/>
      <w:pageBreakBefore/>
      <w:spacing w:after="0" w:line="240" w:lineRule="auto"/>
      <w:outlineLvl w:val="0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paragraph" w:styleId="963" w:customStyle="1">
    <w:name w:val="2-з"/>
    <w:basedOn w:val="919"/>
    <w:qFormat/>
    <w:pPr>
      <w:numPr>
        <w:ilvl w:val="1"/>
        <w:numId w:val="24"/>
      </w:numPr>
      <w:jc w:val="both"/>
      <w:spacing w:before="120" w:after="120"/>
      <w:widowControl w:val="off"/>
      <w:outlineLvl w:val="1"/>
    </w:pPr>
    <w:rPr>
      <w:b/>
      <w:szCs w:val="20"/>
    </w:rPr>
  </w:style>
  <w:style w:type="paragraph" w:styleId="964" w:customStyle="1">
    <w:name w:val="3-з"/>
    <w:link w:val="970"/>
    <w:qFormat/>
    <w:pPr>
      <w:numPr>
        <w:ilvl w:val="2"/>
        <w:numId w:val="24"/>
      </w:numPr>
      <w:jc w:val="both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numbering" w:styleId="965" w:customStyle="1">
    <w:name w:val="нумерация"/>
    <w:uiPriority w:val="99"/>
    <w:pPr>
      <w:numPr>
        <w:ilvl w:val="0"/>
        <w:numId w:val="23"/>
      </w:numPr>
    </w:pPr>
  </w:style>
  <w:style w:type="paragraph" w:styleId="966" w:customStyle="1">
    <w:name w:val="4-з"/>
    <w:qFormat/>
    <w:pPr>
      <w:numPr>
        <w:ilvl w:val="3"/>
        <w:numId w:val="24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67" w:customStyle="1">
    <w:name w:val="5-з"/>
    <w:basedOn w:val="919"/>
    <w:qFormat/>
    <w:pPr>
      <w:numPr>
        <w:ilvl w:val="4"/>
        <w:numId w:val="24"/>
      </w:numPr>
      <w:jc w:val="both"/>
      <w:widowControl w:val="off"/>
    </w:pPr>
    <w:rPr>
      <w:szCs w:val="20"/>
    </w:rPr>
  </w:style>
  <w:style w:type="paragraph" w:styleId="968" w:customStyle="1">
    <w:name w:val="6-буквы"/>
    <w:basedOn w:val="919"/>
    <w:qFormat/>
    <w:pPr>
      <w:numPr>
        <w:ilvl w:val="5"/>
        <w:numId w:val="24"/>
      </w:numPr>
      <w:jc w:val="both"/>
      <w:widowControl w:val="off"/>
    </w:pPr>
    <w:rPr>
      <w:szCs w:val="20"/>
    </w:rPr>
  </w:style>
  <w:style w:type="paragraph" w:styleId="969" w:customStyle="1">
    <w:name w:val="7-форма"/>
    <w:qFormat/>
    <w:pPr>
      <w:numPr>
        <w:ilvl w:val="6"/>
        <w:numId w:val="24"/>
      </w:numPr>
      <w:ind w:left="0"/>
      <w:jc w:val="right"/>
      <w:spacing w:after="0" w:line="240" w:lineRule="auto"/>
      <w:tabs>
        <w:tab w:val="left" w:pos="1080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970" w:customStyle="1">
    <w:name w:val="3-з Знак"/>
    <w:basedOn w:val="923"/>
    <w:link w:val="964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71" w:customStyle="1">
    <w:name w:val="Без интервала Знак"/>
    <w:link w:val="933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2">
    <w:name w:val="toc 6"/>
    <w:basedOn w:val="919"/>
    <w:next w:val="919"/>
    <w:uiPriority w:val="99"/>
    <w:semiHidden/>
    <w:pPr>
      <w:ind w:left="1400" w:firstLine="567"/>
      <w:spacing w:line="360" w:lineRule="auto"/>
    </w:pPr>
    <w:rPr>
      <w:sz w:val="18"/>
      <w:szCs w:val="18"/>
    </w:rPr>
  </w:style>
  <w:style w:type="paragraph" w:styleId="973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974">
    <w:name w:val="footnote text"/>
    <w:basedOn w:val="919"/>
    <w:link w:val="975"/>
    <w:unhideWhenUsed/>
    <w:rPr>
      <w:sz w:val="20"/>
      <w:szCs w:val="20"/>
    </w:rPr>
  </w:style>
  <w:style w:type="character" w:styleId="975" w:customStyle="1">
    <w:name w:val="Текст сноски Знак"/>
    <w:basedOn w:val="923"/>
    <w:link w:val="974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76">
    <w:name w:val="footnote reference"/>
    <w:basedOn w:val="923"/>
    <w:uiPriority w:val="99"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comments" Target="comments.xml" /><Relationship Id="rId12" Type="http://schemas.microsoft.com/office/2011/relationships/commentsExtended" Target="commentsExtended.xml" /><Relationship Id="rId13" Type="http://schemas.microsoft.com/office/2018/08/relationships/commentsExtensible" Target="commentsExtensible.xml" /><Relationship Id="rId14" Type="http://schemas.microsoft.com/office/2016/09/relationships/commentsIds" Target="commentsIds.xml" /><Relationship Id="rId15" Type="http://schemas.microsoft.com/office/2011/relationships/people" Target="people.xml" /><Relationship Id="rId16" Type="http://schemas.onlyoffice.com/commentsDocument" Target="commentsDocument.xml" /><Relationship Id="rId17" Type="http://schemas.onlyoffice.com/commentsExtendedDocument" Target="commentsExtendedDocument.xml" /><Relationship Id="rId18" Type="http://schemas.onlyoffice.com/commentsIdsDocument" Target="commentsIdsDocument.xml" /><Relationship Id="rId19" Type="http://schemas.onlyoffice.com/peopleDocument" Target="peopleDocument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06FFC-4505-478D-902F-153D23E59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Корнев Егор Александрович</dc:creator>
  <cp:keywords/>
  <dc:description/>
  <cp:lastModifiedBy>Hazova-VN</cp:lastModifiedBy>
  <cp:revision>46</cp:revision>
  <dcterms:created xsi:type="dcterms:W3CDTF">2024-03-05T07:13:00Z</dcterms:created>
  <dcterms:modified xsi:type="dcterms:W3CDTF">2026-09-07T08:00:30Z</dcterms:modified>
</cp:coreProperties>
</file>